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D0" w:rsidRPr="00BB32BC" w:rsidRDefault="00A867D0" w:rsidP="00A867D0">
      <w:pPr>
        <w:spacing w:line="360" w:lineRule="auto"/>
        <w:jc w:val="center"/>
        <w:rPr>
          <w:b/>
          <w:sz w:val="30"/>
          <w:szCs w:val="30"/>
        </w:rPr>
      </w:pPr>
      <w:r w:rsidRPr="00250EDE">
        <w:rPr>
          <w:rFonts w:hint="eastAsia"/>
          <w:b/>
          <w:sz w:val="30"/>
          <w:szCs w:val="30"/>
        </w:rPr>
        <w:t>中国港航股指周报</w:t>
      </w:r>
      <w:r w:rsidRPr="00D24F87">
        <w:rPr>
          <w:rFonts w:ascii="宋体" w:hAnsi="宋体" w:hint="eastAsia"/>
          <w:b/>
          <w:sz w:val="30"/>
          <w:szCs w:val="30"/>
        </w:rPr>
        <w:t>（</w:t>
      </w:r>
      <w:r w:rsidR="0088388E">
        <w:rPr>
          <w:rFonts w:ascii="宋体" w:hAnsi="宋体"/>
          <w:b/>
          <w:sz w:val="30"/>
          <w:szCs w:val="30"/>
        </w:rPr>
        <w:t>3.</w:t>
      </w:r>
      <w:r w:rsidR="00881103">
        <w:rPr>
          <w:rFonts w:ascii="宋体" w:hAnsi="宋体"/>
          <w:b/>
          <w:sz w:val="30"/>
          <w:szCs w:val="30"/>
        </w:rPr>
        <w:t>17</w:t>
      </w:r>
      <w:r w:rsidRPr="00D24F87">
        <w:rPr>
          <w:rFonts w:ascii="宋体" w:hAnsi="宋体" w:hint="eastAsia"/>
          <w:b/>
          <w:sz w:val="30"/>
          <w:szCs w:val="30"/>
        </w:rPr>
        <w:t>—</w:t>
      </w:r>
      <w:r w:rsidR="00087B1C">
        <w:rPr>
          <w:rFonts w:ascii="宋体" w:hAnsi="宋体"/>
          <w:b/>
          <w:sz w:val="30"/>
          <w:szCs w:val="30"/>
        </w:rPr>
        <w:t>3</w:t>
      </w:r>
      <w:r w:rsidR="004A159D">
        <w:rPr>
          <w:rFonts w:ascii="宋体" w:hAnsi="宋体" w:hint="eastAsia"/>
          <w:b/>
          <w:sz w:val="30"/>
          <w:szCs w:val="30"/>
        </w:rPr>
        <w:t>.</w:t>
      </w:r>
      <w:r w:rsidR="00881103">
        <w:rPr>
          <w:rFonts w:ascii="宋体" w:hAnsi="宋体"/>
          <w:b/>
          <w:sz w:val="30"/>
          <w:szCs w:val="30"/>
        </w:rPr>
        <w:t>23</w:t>
      </w:r>
      <w:r w:rsidRPr="00D24F87">
        <w:rPr>
          <w:rFonts w:ascii="宋体" w:hAnsi="宋体" w:hint="eastAsia"/>
          <w:b/>
          <w:sz w:val="30"/>
          <w:szCs w:val="30"/>
        </w:rPr>
        <w:t>）</w:t>
      </w:r>
    </w:p>
    <w:p w:rsidR="00A867D0" w:rsidRDefault="00A867D0" w:rsidP="00A867D0">
      <w:pPr>
        <w:spacing w:line="360" w:lineRule="auto"/>
        <w:jc w:val="center"/>
        <w:rPr>
          <w:b/>
          <w:szCs w:val="21"/>
        </w:rPr>
      </w:pPr>
      <w:r w:rsidRPr="00957A33">
        <w:rPr>
          <w:rFonts w:hint="eastAsia"/>
          <w:b/>
          <w:szCs w:val="21"/>
        </w:rPr>
        <w:t>交通运输部水运科学研究院</w:t>
      </w:r>
    </w:p>
    <w:p w:rsidR="00753D39" w:rsidRDefault="00753D39" w:rsidP="00A867D0">
      <w:pPr>
        <w:spacing w:line="360" w:lineRule="auto"/>
        <w:jc w:val="center"/>
        <w:rPr>
          <w:b/>
          <w:szCs w:val="21"/>
        </w:rPr>
      </w:pPr>
    </w:p>
    <w:p w:rsidR="001A3C85" w:rsidRDefault="001A3C85" w:rsidP="00DB0636">
      <w:pPr>
        <w:numPr>
          <w:ilvl w:val="0"/>
          <w:numId w:val="3"/>
        </w:numPr>
        <w:spacing w:line="360" w:lineRule="auto"/>
        <w:rPr>
          <w:b/>
          <w:sz w:val="24"/>
        </w:rPr>
      </w:pPr>
      <w:r w:rsidRPr="00D24F87">
        <w:rPr>
          <w:rFonts w:ascii="宋体" w:hAnsi="宋体" w:hint="eastAsia"/>
          <w:b/>
          <w:sz w:val="24"/>
        </w:rPr>
        <w:t>CPSI</w:t>
      </w:r>
      <w:r>
        <w:rPr>
          <w:rFonts w:hint="eastAsia"/>
          <w:b/>
          <w:sz w:val="24"/>
        </w:rPr>
        <w:t>走势</w:t>
      </w:r>
    </w:p>
    <w:p w:rsidR="00DB0636" w:rsidRDefault="00881103" w:rsidP="004062FE">
      <w:pPr>
        <w:spacing w:line="360" w:lineRule="auto"/>
        <w:ind w:left="390"/>
        <w:jc w:val="center"/>
        <w:rPr>
          <w:noProof/>
        </w:rPr>
      </w:pPr>
      <w:r>
        <w:rPr>
          <w:noProof/>
        </w:rPr>
        <w:drawing>
          <wp:inline distT="0" distB="0" distL="0" distR="0" wp14:anchorId="3CE60568" wp14:editId="6655A11D">
            <wp:extent cx="4259580" cy="2811780"/>
            <wp:effectExtent l="0" t="0" r="7620" b="762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883B07" wp14:editId="65B3F219">
            <wp:extent cx="4572000" cy="318770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159D" w:rsidRDefault="004A159D" w:rsidP="004062FE">
      <w:pPr>
        <w:spacing w:line="360" w:lineRule="auto"/>
        <w:ind w:left="390"/>
        <w:jc w:val="center"/>
        <w:rPr>
          <w:noProof/>
        </w:rPr>
      </w:pPr>
    </w:p>
    <w:p w:rsidR="00CE47CB" w:rsidRDefault="00DB0636" w:rsidP="00017CCC">
      <w:pPr>
        <w:spacing w:line="360" w:lineRule="auto"/>
        <w:ind w:firstLineChars="196" w:firstLine="470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Pr="006E7DF9">
        <w:rPr>
          <w:rFonts w:hint="eastAsia"/>
          <w:sz w:val="24"/>
          <w:szCs w:val="24"/>
        </w:rPr>
        <w:t xml:space="preserve">PSI 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rFonts w:hint="eastAsia"/>
          <w:sz w:val="24"/>
          <w:szCs w:val="24"/>
        </w:rPr>
        <w:t>3</w:t>
      </w:r>
      <w:r w:rsidR="00881103">
        <w:rPr>
          <w:rFonts w:hint="eastAsia"/>
          <w:sz w:val="24"/>
          <w:szCs w:val="24"/>
        </w:rPr>
        <w:t>月</w:t>
      </w:r>
      <w:r w:rsidR="00881103">
        <w:rPr>
          <w:rFonts w:hint="eastAsia"/>
          <w:sz w:val="24"/>
          <w:szCs w:val="24"/>
        </w:rPr>
        <w:t>21</w:t>
      </w:r>
      <w:r w:rsidR="00881103">
        <w:rPr>
          <w:rFonts w:hint="eastAsia"/>
          <w:sz w:val="24"/>
          <w:szCs w:val="24"/>
        </w:rPr>
        <w:t>日</w:t>
      </w:r>
      <w:r w:rsidRPr="006E7DF9">
        <w:rPr>
          <w:rFonts w:hint="eastAsia"/>
          <w:sz w:val="24"/>
          <w:szCs w:val="24"/>
        </w:rPr>
        <w:t>收于</w:t>
      </w:r>
      <w:r w:rsidR="002E76B0">
        <w:rPr>
          <w:sz w:val="24"/>
          <w:szCs w:val="24"/>
        </w:rPr>
        <w:t>48.9</w:t>
      </w:r>
      <w:r>
        <w:rPr>
          <w:rFonts w:hint="eastAsia"/>
          <w:sz w:val="24"/>
          <w:szCs w:val="24"/>
        </w:rPr>
        <w:t>点，</w:t>
      </w:r>
      <w:r w:rsidRPr="006E7DF9">
        <w:rPr>
          <w:rFonts w:hint="eastAsia"/>
          <w:sz w:val="24"/>
          <w:szCs w:val="24"/>
        </w:rPr>
        <w:t>当期（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rFonts w:hint="eastAsia"/>
          <w:sz w:val="24"/>
          <w:szCs w:val="24"/>
        </w:rPr>
        <w:t>3</w:t>
      </w:r>
      <w:r w:rsidR="00881103">
        <w:rPr>
          <w:rFonts w:hint="eastAsia"/>
          <w:sz w:val="24"/>
          <w:szCs w:val="24"/>
        </w:rPr>
        <w:t>月</w:t>
      </w:r>
      <w:r w:rsidR="00881103">
        <w:rPr>
          <w:rFonts w:hint="eastAsia"/>
          <w:sz w:val="24"/>
          <w:szCs w:val="24"/>
        </w:rPr>
        <w:t>17</w:t>
      </w:r>
      <w:r w:rsidR="00881103">
        <w:rPr>
          <w:rFonts w:hint="eastAsia"/>
          <w:sz w:val="24"/>
          <w:szCs w:val="24"/>
        </w:rPr>
        <w:t>日</w:t>
      </w:r>
      <w:r w:rsidRPr="006E7DF9">
        <w:rPr>
          <w:rFonts w:hint="eastAsia"/>
          <w:sz w:val="24"/>
          <w:szCs w:val="24"/>
        </w:rPr>
        <w:t>—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rFonts w:hint="eastAsia"/>
          <w:sz w:val="24"/>
          <w:szCs w:val="24"/>
        </w:rPr>
        <w:t>3</w:t>
      </w:r>
      <w:r w:rsidR="00881103">
        <w:rPr>
          <w:rFonts w:hint="eastAsia"/>
          <w:sz w:val="24"/>
          <w:szCs w:val="24"/>
        </w:rPr>
        <w:t>月</w:t>
      </w:r>
      <w:r w:rsidR="00881103">
        <w:rPr>
          <w:rFonts w:hint="eastAsia"/>
          <w:sz w:val="24"/>
          <w:szCs w:val="24"/>
        </w:rPr>
        <w:t>21</w:t>
      </w:r>
      <w:r w:rsidR="00881103">
        <w:rPr>
          <w:rFonts w:hint="eastAsia"/>
          <w:sz w:val="24"/>
          <w:szCs w:val="24"/>
        </w:rPr>
        <w:t>日</w:t>
      </w:r>
      <w:r w:rsidRPr="006E7DF9">
        <w:rPr>
          <w:rFonts w:hint="eastAsia"/>
          <w:sz w:val="24"/>
          <w:szCs w:val="24"/>
        </w:rPr>
        <w:t>）指数均值为</w:t>
      </w:r>
      <w:r w:rsidR="005E26CD">
        <w:rPr>
          <w:sz w:val="24"/>
          <w:szCs w:val="24"/>
        </w:rPr>
        <w:t>4</w:t>
      </w:r>
      <w:r w:rsidR="002E76B0">
        <w:rPr>
          <w:sz w:val="24"/>
          <w:szCs w:val="24"/>
        </w:rPr>
        <w:t>8.2</w:t>
      </w:r>
      <w:r w:rsidRPr="006E7DF9">
        <w:rPr>
          <w:rFonts w:hint="eastAsia"/>
          <w:sz w:val="24"/>
          <w:szCs w:val="24"/>
        </w:rPr>
        <w:t>点，</w:t>
      </w:r>
      <w:r w:rsidR="004A159D">
        <w:rPr>
          <w:rFonts w:hint="eastAsia"/>
          <w:sz w:val="24"/>
          <w:szCs w:val="24"/>
        </w:rPr>
        <w:t>比</w:t>
      </w:r>
      <w:r w:rsidRPr="006E7DF9">
        <w:rPr>
          <w:rFonts w:hint="eastAsia"/>
          <w:sz w:val="24"/>
          <w:szCs w:val="24"/>
        </w:rPr>
        <w:t>上期（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sz w:val="24"/>
          <w:szCs w:val="24"/>
        </w:rPr>
        <w:t>3</w:t>
      </w:r>
      <w:r w:rsidR="00881103">
        <w:rPr>
          <w:sz w:val="24"/>
          <w:szCs w:val="24"/>
        </w:rPr>
        <w:t>月</w:t>
      </w:r>
      <w:r w:rsidR="00881103">
        <w:rPr>
          <w:sz w:val="24"/>
          <w:szCs w:val="24"/>
        </w:rPr>
        <w:t>10</w:t>
      </w:r>
      <w:r w:rsidR="00881103">
        <w:rPr>
          <w:sz w:val="24"/>
          <w:szCs w:val="24"/>
        </w:rPr>
        <w:t>日</w:t>
      </w:r>
      <w:r w:rsidRPr="006E7DF9">
        <w:rPr>
          <w:rFonts w:hint="eastAsia"/>
          <w:sz w:val="24"/>
          <w:szCs w:val="24"/>
        </w:rPr>
        <w:t>—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rFonts w:hint="eastAsia"/>
          <w:sz w:val="24"/>
          <w:szCs w:val="24"/>
        </w:rPr>
        <w:t>3</w:t>
      </w:r>
      <w:r w:rsidR="00881103">
        <w:rPr>
          <w:rFonts w:hint="eastAsia"/>
          <w:sz w:val="24"/>
          <w:szCs w:val="24"/>
        </w:rPr>
        <w:t>月</w:t>
      </w:r>
      <w:r w:rsidR="00881103">
        <w:rPr>
          <w:rFonts w:hint="eastAsia"/>
          <w:sz w:val="24"/>
          <w:szCs w:val="24"/>
        </w:rPr>
        <w:t>14</w:t>
      </w:r>
      <w:r w:rsidR="00881103">
        <w:rPr>
          <w:rFonts w:hint="eastAsia"/>
          <w:sz w:val="24"/>
          <w:szCs w:val="24"/>
        </w:rPr>
        <w:t>日</w:t>
      </w:r>
      <w:r w:rsidRPr="006E7DF9">
        <w:rPr>
          <w:rFonts w:hint="eastAsia"/>
          <w:sz w:val="24"/>
          <w:szCs w:val="24"/>
        </w:rPr>
        <w:t>）</w:t>
      </w:r>
      <w:r w:rsidR="005E26CD">
        <w:rPr>
          <w:sz w:val="24"/>
          <w:szCs w:val="24"/>
        </w:rPr>
        <w:t>5</w:t>
      </w:r>
      <w:r w:rsidR="002E76B0">
        <w:rPr>
          <w:sz w:val="24"/>
          <w:szCs w:val="24"/>
        </w:rPr>
        <w:t>7.9</w:t>
      </w:r>
      <w:r w:rsidR="00017CCC">
        <w:rPr>
          <w:rFonts w:hint="eastAsia"/>
          <w:sz w:val="24"/>
          <w:szCs w:val="24"/>
        </w:rPr>
        <w:t>点</w:t>
      </w:r>
      <w:r w:rsidR="002E76B0">
        <w:rPr>
          <w:rFonts w:hint="eastAsia"/>
          <w:sz w:val="24"/>
          <w:szCs w:val="24"/>
        </w:rPr>
        <w:t>微涨</w:t>
      </w:r>
      <w:r w:rsidR="002E76B0">
        <w:rPr>
          <w:rFonts w:hint="eastAsia"/>
          <w:sz w:val="24"/>
          <w:szCs w:val="24"/>
        </w:rPr>
        <w:t>0.76</w:t>
      </w:r>
      <w:r w:rsidR="002E76B0"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，如图</w:t>
      </w:r>
      <w:r>
        <w:rPr>
          <w:rFonts w:hint="eastAsia"/>
          <w:sz w:val="24"/>
          <w:szCs w:val="24"/>
        </w:rPr>
        <w:t>1-1</w:t>
      </w:r>
      <w:r>
        <w:rPr>
          <w:rFonts w:hint="eastAsia"/>
          <w:sz w:val="24"/>
          <w:szCs w:val="24"/>
        </w:rPr>
        <w:t>。本周沪深</w:t>
      </w:r>
      <w:r>
        <w:rPr>
          <w:rFonts w:hint="eastAsia"/>
          <w:sz w:val="24"/>
          <w:szCs w:val="24"/>
        </w:rPr>
        <w:t>300</w:t>
      </w:r>
      <w:r>
        <w:rPr>
          <w:rFonts w:hint="eastAsia"/>
          <w:sz w:val="24"/>
          <w:szCs w:val="24"/>
        </w:rPr>
        <w:t>指数均值</w:t>
      </w:r>
      <w:r w:rsidR="00243727">
        <w:rPr>
          <w:rFonts w:hint="eastAsia"/>
          <w:sz w:val="24"/>
          <w:szCs w:val="24"/>
        </w:rPr>
        <w:t>较上周</w:t>
      </w:r>
      <w:r w:rsidR="00A369DC">
        <w:rPr>
          <w:rFonts w:hint="eastAsia"/>
          <w:sz w:val="24"/>
          <w:szCs w:val="24"/>
        </w:rPr>
        <w:t>微涨</w:t>
      </w:r>
      <w:r w:rsidR="00A369DC">
        <w:rPr>
          <w:rFonts w:hint="eastAsia"/>
          <w:sz w:val="24"/>
          <w:szCs w:val="24"/>
        </w:rPr>
        <w:t>0.61</w:t>
      </w:r>
      <w:r>
        <w:rPr>
          <w:rFonts w:hint="eastAsia"/>
          <w:sz w:val="24"/>
          <w:szCs w:val="24"/>
        </w:rPr>
        <w:t>，港口板块总体走势</w:t>
      </w:r>
      <w:r w:rsidR="00A369DC">
        <w:rPr>
          <w:rFonts w:hint="eastAsia"/>
          <w:sz w:val="24"/>
          <w:szCs w:val="24"/>
        </w:rPr>
        <w:t>与</w:t>
      </w:r>
      <w:r w:rsidR="004A159D">
        <w:rPr>
          <w:rFonts w:hint="eastAsia"/>
          <w:sz w:val="24"/>
          <w:szCs w:val="24"/>
        </w:rPr>
        <w:t>大盘</w:t>
      </w:r>
      <w:r w:rsidR="00A369DC">
        <w:rPr>
          <w:rFonts w:hint="eastAsia"/>
          <w:sz w:val="24"/>
          <w:szCs w:val="24"/>
        </w:rPr>
        <w:t>一致</w:t>
      </w:r>
      <w:r>
        <w:rPr>
          <w:rFonts w:hint="eastAsia"/>
          <w:sz w:val="24"/>
          <w:szCs w:val="24"/>
        </w:rPr>
        <w:t>，如图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。</w:t>
      </w:r>
    </w:p>
    <w:p w:rsidR="00770591" w:rsidRDefault="00DB7FA1" w:rsidP="00DB7FA1">
      <w:pPr>
        <w:tabs>
          <w:tab w:val="left" w:pos="3780"/>
        </w:tabs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本周</w:t>
      </w:r>
      <w:r>
        <w:rPr>
          <w:sz w:val="24"/>
          <w:szCs w:val="24"/>
        </w:rPr>
        <w:t>部分</w:t>
      </w:r>
      <w:r>
        <w:rPr>
          <w:rFonts w:hint="eastAsia"/>
          <w:sz w:val="24"/>
          <w:szCs w:val="24"/>
        </w:rPr>
        <w:t>港口</w:t>
      </w:r>
      <w:r>
        <w:rPr>
          <w:sz w:val="24"/>
          <w:szCs w:val="24"/>
        </w:rPr>
        <w:t>上市公司</w:t>
      </w:r>
      <w:r>
        <w:rPr>
          <w:rFonts w:hint="eastAsia"/>
          <w:sz w:val="24"/>
          <w:szCs w:val="24"/>
        </w:rPr>
        <w:t>继续</w:t>
      </w:r>
      <w:r>
        <w:rPr>
          <w:sz w:val="24"/>
          <w:szCs w:val="24"/>
        </w:rPr>
        <w:t>发布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年报，</w:t>
      </w:r>
      <w:r>
        <w:rPr>
          <w:rFonts w:hint="eastAsia"/>
          <w:sz w:val="24"/>
          <w:szCs w:val="24"/>
        </w:rPr>
        <w:t>业绩增长</w:t>
      </w:r>
      <w:r>
        <w:rPr>
          <w:sz w:val="24"/>
          <w:szCs w:val="24"/>
        </w:rPr>
        <w:t>趋缓。其中</w:t>
      </w:r>
      <w:r>
        <w:rPr>
          <w:rFonts w:hint="eastAsia"/>
          <w:sz w:val="24"/>
          <w:szCs w:val="24"/>
        </w:rPr>
        <w:t>日照港净利润</w:t>
      </w:r>
      <w:r>
        <w:rPr>
          <w:sz w:val="24"/>
          <w:szCs w:val="24"/>
        </w:rPr>
        <w:t>同比增长</w:t>
      </w:r>
      <w:r>
        <w:rPr>
          <w:rFonts w:hint="eastAsia"/>
          <w:sz w:val="24"/>
          <w:szCs w:val="24"/>
        </w:rPr>
        <w:t>1.96</w:t>
      </w:r>
      <w:r>
        <w:rPr>
          <w:sz w:val="24"/>
          <w:szCs w:val="24"/>
        </w:rPr>
        <w:t>%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天津港</w:t>
      </w:r>
      <w:r w:rsidRPr="00DB7FA1">
        <w:rPr>
          <w:rFonts w:hint="eastAsia"/>
          <w:sz w:val="24"/>
          <w:szCs w:val="24"/>
        </w:rPr>
        <w:t>同比增</w:t>
      </w:r>
      <w:r w:rsidRPr="00DB7FA1">
        <w:rPr>
          <w:rFonts w:hint="eastAsia"/>
          <w:sz w:val="24"/>
          <w:szCs w:val="24"/>
        </w:rPr>
        <w:t>6.31%</w:t>
      </w:r>
      <w:r w:rsidR="00DC59F3">
        <w:rPr>
          <w:rFonts w:hint="eastAsia"/>
          <w:sz w:val="24"/>
          <w:szCs w:val="24"/>
        </w:rPr>
        <w:t>。</w:t>
      </w:r>
    </w:p>
    <w:p w:rsidR="00770591" w:rsidRDefault="00770591" w:rsidP="00166341">
      <w:pPr>
        <w:tabs>
          <w:tab w:val="left" w:pos="3780"/>
        </w:tabs>
        <w:spacing w:line="360" w:lineRule="auto"/>
        <w:rPr>
          <w:rFonts w:hint="eastAsia"/>
          <w:sz w:val="24"/>
          <w:szCs w:val="24"/>
        </w:rPr>
      </w:pPr>
    </w:p>
    <w:p w:rsidR="00851D64" w:rsidRDefault="00F35D0C" w:rsidP="00166341">
      <w:pPr>
        <w:tabs>
          <w:tab w:val="left" w:pos="3780"/>
        </w:tabs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二.</w:t>
      </w:r>
      <w:r w:rsidR="003C3C7F" w:rsidRPr="00D24F87">
        <w:rPr>
          <w:rFonts w:ascii="宋体" w:hAnsi="宋体" w:hint="eastAsia"/>
          <w:b/>
          <w:sz w:val="24"/>
        </w:rPr>
        <w:t>CSSI走势</w:t>
      </w:r>
    </w:p>
    <w:p w:rsidR="00066B48" w:rsidRDefault="00881103" w:rsidP="004062FE">
      <w:pPr>
        <w:tabs>
          <w:tab w:val="left" w:pos="3780"/>
        </w:tabs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D9927E0" wp14:editId="2B6DEA80">
            <wp:extent cx="4206240" cy="2621280"/>
            <wp:effectExtent l="0" t="0" r="3810" b="762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EDC3CA" wp14:editId="24432323">
            <wp:extent cx="4564380" cy="3321050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0770" w:rsidRDefault="004C0770" w:rsidP="004062FE">
      <w:pPr>
        <w:spacing w:line="360" w:lineRule="auto"/>
        <w:jc w:val="center"/>
        <w:rPr>
          <w:rFonts w:ascii="宋体" w:hAnsi="宋体"/>
          <w:b/>
          <w:sz w:val="24"/>
        </w:rPr>
      </w:pPr>
    </w:p>
    <w:p w:rsidR="00FF11FB" w:rsidRDefault="00DB0636" w:rsidP="00211840">
      <w:pPr>
        <w:spacing w:line="360" w:lineRule="auto"/>
        <w:ind w:firstLineChars="200" w:firstLine="480"/>
        <w:rPr>
          <w:sz w:val="24"/>
          <w:szCs w:val="24"/>
        </w:rPr>
      </w:pPr>
      <w:r w:rsidRPr="004133E7">
        <w:rPr>
          <w:rFonts w:hint="eastAsia"/>
          <w:sz w:val="24"/>
          <w:szCs w:val="24"/>
        </w:rPr>
        <w:t xml:space="preserve">CSSI </w:t>
      </w:r>
      <w:r w:rsidR="00881103">
        <w:rPr>
          <w:rFonts w:hint="eastAsia"/>
          <w:sz w:val="24"/>
          <w:szCs w:val="24"/>
        </w:rPr>
        <w:t>3</w:t>
      </w:r>
      <w:r w:rsidR="00881103">
        <w:rPr>
          <w:rFonts w:hint="eastAsia"/>
          <w:sz w:val="24"/>
          <w:szCs w:val="24"/>
        </w:rPr>
        <w:t>月</w:t>
      </w:r>
      <w:r w:rsidR="00881103">
        <w:rPr>
          <w:rFonts w:hint="eastAsia"/>
          <w:sz w:val="24"/>
          <w:szCs w:val="24"/>
        </w:rPr>
        <w:t>21</w:t>
      </w:r>
      <w:r w:rsidR="00881103">
        <w:rPr>
          <w:rFonts w:hint="eastAsia"/>
          <w:sz w:val="24"/>
          <w:szCs w:val="24"/>
        </w:rPr>
        <w:t>日</w:t>
      </w:r>
      <w:r w:rsidRPr="004133E7">
        <w:rPr>
          <w:rFonts w:hint="eastAsia"/>
          <w:sz w:val="24"/>
          <w:szCs w:val="24"/>
        </w:rPr>
        <w:t>收于</w:t>
      </w:r>
      <w:r w:rsidR="00DD7CEE">
        <w:rPr>
          <w:rFonts w:hint="eastAsia"/>
          <w:sz w:val="24"/>
          <w:szCs w:val="24"/>
        </w:rPr>
        <w:t>1</w:t>
      </w:r>
      <w:r w:rsidR="00734F42">
        <w:rPr>
          <w:sz w:val="24"/>
          <w:szCs w:val="24"/>
        </w:rPr>
        <w:t>4.</w:t>
      </w:r>
      <w:r w:rsidR="00770591">
        <w:rPr>
          <w:sz w:val="24"/>
          <w:szCs w:val="24"/>
        </w:rPr>
        <w:t>9</w:t>
      </w:r>
      <w:r w:rsidRPr="004133E7">
        <w:rPr>
          <w:rFonts w:hint="eastAsia"/>
          <w:sz w:val="24"/>
          <w:szCs w:val="24"/>
        </w:rPr>
        <w:t>点，当期（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rFonts w:hint="eastAsia"/>
          <w:sz w:val="24"/>
          <w:szCs w:val="24"/>
        </w:rPr>
        <w:t>3</w:t>
      </w:r>
      <w:r w:rsidR="00881103">
        <w:rPr>
          <w:rFonts w:hint="eastAsia"/>
          <w:sz w:val="24"/>
          <w:szCs w:val="24"/>
        </w:rPr>
        <w:t>月</w:t>
      </w:r>
      <w:r w:rsidR="00881103">
        <w:rPr>
          <w:rFonts w:hint="eastAsia"/>
          <w:sz w:val="24"/>
          <w:szCs w:val="24"/>
        </w:rPr>
        <w:t>17</w:t>
      </w:r>
      <w:r w:rsidR="00881103">
        <w:rPr>
          <w:rFonts w:hint="eastAsia"/>
          <w:sz w:val="24"/>
          <w:szCs w:val="24"/>
        </w:rPr>
        <w:t>日</w:t>
      </w:r>
      <w:r w:rsidRPr="004133E7">
        <w:rPr>
          <w:rFonts w:hint="eastAsia"/>
          <w:sz w:val="24"/>
          <w:szCs w:val="24"/>
        </w:rPr>
        <w:t>—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rFonts w:hint="eastAsia"/>
          <w:sz w:val="24"/>
          <w:szCs w:val="24"/>
        </w:rPr>
        <w:t>3</w:t>
      </w:r>
      <w:r w:rsidR="00881103">
        <w:rPr>
          <w:rFonts w:hint="eastAsia"/>
          <w:sz w:val="24"/>
          <w:szCs w:val="24"/>
        </w:rPr>
        <w:t>月</w:t>
      </w:r>
      <w:r w:rsidR="00881103">
        <w:rPr>
          <w:rFonts w:hint="eastAsia"/>
          <w:sz w:val="24"/>
          <w:szCs w:val="24"/>
        </w:rPr>
        <w:t>21</w:t>
      </w:r>
      <w:r w:rsidR="00881103">
        <w:rPr>
          <w:rFonts w:hint="eastAsia"/>
          <w:sz w:val="24"/>
          <w:szCs w:val="24"/>
        </w:rPr>
        <w:t>日</w:t>
      </w:r>
      <w:r w:rsidRPr="004133E7">
        <w:rPr>
          <w:rFonts w:hint="eastAsia"/>
          <w:sz w:val="24"/>
          <w:szCs w:val="24"/>
        </w:rPr>
        <w:t>）指数均值为</w:t>
      </w:r>
      <w:r>
        <w:rPr>
          <w:rFonts w:hint="eastAsia"/>
          <w:sz w:val="24"/>
          <w:szCs w:val="24"/>
        </w:rPr>
        <w:t>1</w:t>
      </w:r>
      <w:r w:rsidR="00734F42">
        <w:rPr>
          <w:sz w:val="24"/>
          <w:szCs w:val="24"/>
        </w:rPr>
        <w:t>4.</w:t>
      </w:r>
      <w:r w:rsidR="00770591">
        <w:rPr>
          <w:sz w:val="24"/>
          <w:szCs w:val="24"/>
        </w:rPr>
        <w:t>7</w:t>
      </w:r>
      <w:r w:rsidRPr="004133E7">
        <w:rPr>
          <w:rFonts w:hint="eastAsia"/>
          <w:sz w:val="24"/>
          <w:szCs w:val="24"/>
        </w:rPr>
        <w:t>点，与上期（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sz w:val="24"/>
          <w:szCs w:val="24"/>
        </w:rPr>
        <w:t>3</w:t>
      </w:r>
      <w:r w:rsidR="00881103">
        <w:rPr>
          <w:sz w:val="24"/>
          <w:szCs w:val="24"/>
        </w:rPr>
        <w:t>月</w:t>
      </w:r>
      <w:r w:rsidR="00881103">
        <w:rPr>
          <w:sz w:val="24"/>
          <w:szCs w:val="24"/>
        </w:rPr>
        <w:t>10</w:t>
      </w:r>
      <w:r w:rsidR="00881103">
        <w:rPr>
          <w:sz w:val="24"/>
          <w:szCs w:val="24"/>
        </w:rPr>
        <w:t>日</w:t>
      </w:r>
      <w:r w:rsidRPr="004133E7">
        <w:rPr>
          <w:rFonts w:hint="eastAsia"/>
          <w:sz w:val="24"/>
          <w:szCs w:val="24"/>
        </w:rPr>
        <w:t>—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rFonts w:hint="eastAsia"/>
          <w:sz w:val="24"/>
          <w:szCs w:val="24"/>
        </w:rPr>
        <w:t>3</w:t>
      </w:r>
      <w:r w:rsidR="00881103">
        <w:rPr>
          <w:rFonts w:hint="eastAsia"/>
          <w:sz w:val="24"/>
          <w:szCs w:val="24"/>
        </w:rPr>
        <w:t>月</w:t>
      </w:r>
      <w:r w:rsidR="00881103">
        <w:rPr>
          <w:rFonts w:hint="eastAsia"/>
          <w:sz w:val="24"/>
          <w:szCs w:val="24"/>
        </w:rPr>
        <w:t>14</w:t>
      </w:r>
      <w:r w:rsidR="00881103">
        <w:rPr>
          <w:rFonts w:hint="eastAsia"/>
          <w:sz w:val="24"/>
          <w:szCs w:val="24"/>
        </w:rPr>
        <w:t>日</w:t>
      </w:r>
      <w:r w:rsidRPr="004133E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相比</w:t>
      </w:r>
      <w:r w:rsidR="00770591">
        <w:rPr>
          <w:rFonts w:hint="eastAsia"/>
          <w:sz w:val="24"/>
          <w:szCs w:val="24"/>
        </w:rPr>
        <w:t>上涨</w:t>
      </w:r>
      <w:r w:rsidR="0099509D">
        <w:rPr>
          <w:rFonts w:hint="eastAsia"/>
          <w:sz w:val="24"/>
          <w:szCs w:val="24"/>
        </w:rPr>
        <w:t>1</w:t>
      </w:r>
      <w:r w:rsidR="00182F6D">
        <w:rPr>
          <w:sz w:val="24"/>
          <w:szCs w:val="24"/>
        </w:rPr>
        <w:t>%</w:t>
      </w:r>
      <w:r>
        <w:rPr>
          <w:rFonts w:hint="eastAsia"/>
          <w:sz w:val="24"/>
          <w:szCs w:val="24"/>
        </w:rPr>
        <w:t>，如图</w:t>
      </w:r>
      <w:r>
        <w:rPr>
          <w:rFonts w:hint="eastAsia"/>
          <w:sz w:val="24"/>
          <w:szCs w:val="24"/>
        </w:rPr>
        <w:t>2-1</w:t>
      </w:r>
      <w:r>
        <w:rPr>
          <w:rFonts w:hint="eastAsia"/>
          <w:sz w:val="24"/>
          <w:szCs w:val="24"/>
        </w:rPr>
        <w:t>，</w:t>
      </w:r>
      <w:r w:rsidR="00105BCA">
        <w:rPr>
          <w:rFonts w:hint="eastAsia"/>
          <w:sz w:val="24"/>
          <w:szCs w:val="24"/>
        </w:rPr>
        <w:t>本周</w:t>
      </w:r>
      <w:r w:rsidR="00182F6D">
        <w:rPr>
          <w:rFonts w:hint="eastAsia"/>
          <w:sz w:val="24"/>
          <w:szCs w:val="24"/>
        </w:rPr>
        <w:t>航运板块走势</w:t>
      </w:r>
      <w:r w:rsidR="0071071A">
        <w:rPr>
          <w:rFonts w:hint="eastAsia"/>
          <w:sz w:val="24"/>
          <w:szCs w:val="24"/>
        </w:rPr>
        <w:t>优</w:t>
      </w:r>
      <w:r w:rsidR="00182F6D">
        <w:rPr>
          <w:rFonts w:hint="eastAsia"/>
          <w:sz w:val="24"/>
          <w:szCs w:val="24"/>
        </w:rPr>
        <w:t>于</w:t>
      </w:r>
      <w:r w:rsidR="00182F6D">
        <w:rPr>
          <w:sz w:val="24"/>
          <w:szCs w:val="24"/>
        </w:rPr>
        <w:t>大盘</w:t>
      </w:r>
      <w:r>
        <w:rPr>
          <w:rFonts w:hint="eastAsia"/>
          <w:sz w:val="24"/>
          <w:szCs w:val="24"/>
        </w:rPr>
        <w:t>，如图</w:t>
      </w:r>
      <w:r>
        <w:rPr>
          <w:rFonts w:hint="eastAsia"/>
          <w:sz w:val="24"/>
          <w:szCs w:val="24"/>
        </w:rPr>
        <w:t>2-2</w:t>
      </w:r>
      <w:r>
        <w:rPr>
          <w:rFonts w:hint="eastAsia"/>
          <w:sz w:val="24"/>
          <w:szCs w:val="24"/>
        </w:rPr>
        <w:t>。</w:t>
      </w:r>
    </w:p>
    <w:p w:rsidR="00211840" w:rsidRDefault="00DC59F3" w:rsidP="0021184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本周</w:t>
      </w:r>
      <w:r>
        <w:rPr>
          <w:sz w:val="24"/>
          <w:szCs w:val="24"/>
        </w:rPr>
        <w:t>部分</w:t>
      </w:r>
      <w:r>
        <w:rPr>
          <w:rFonts w:hint="eastAsia"/>
          <w:sz w:val="24"/>
          <w:szCs w:val="24"/>
        </w:rPr>
        <w:t>航运上市公司</w:t>
      </w:r>
      <w:r>
        <w:rPr>
          <w:sz w:val="24"/>
          <w:szCs w:val="24"/>
        </w:rPr>
        <w:t>发布</w:t>
      </w:r>
      <w:r w:rsidRPr="00DC59F3">
        <w:rPr>
          <w:rFonts w:hint="eastAsia"/>
          <w:sz w:val="24"/>
          <w:szCs w:val="24"/>
        </w:rPr>
        <w:t>2013</w:t>
      </w:r>
      <w:r w:rsidRPr="00DC59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年报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一些上市公司</w:t>
      </w:r>
      <w:r>
        <w:rPr>
          <w:sz w:val="24"/>
          <w:szCs w:val="24"/>
        </w:rPr>
        <w:t>命运最终揭晓。</w:t>
      </w:r>
      <w:r>
        <w:rPr>
          <w:rFonts w:hint="eastAsia"/>
          <w:sz w:val="24"/>
          <w:szCs w:val="24"/>
        </w:rPr>
        <w:t>长</w:t>
      </w:r>
      <w:r>
        <w:rPr>
          <w:rFonts w:hint="eastAsia"/>
          <w:sz w:val="24"/>
          <w:szCs w:val="24"/>
        </w:rPr>
        <w:lastRenderedPageBreak/>
        <w:t>航油运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 w:rsidRPr="00DC59F3">
        <w:rPr>
          <w:rFonts w:hint="eastAsia"/>
          <w:sz w:val="24"/>
          <w:szCs w:val="24"/>
        </w:rPr>
        <w:t>度亏损</w:t>
      </w:r>
      <w:r w:rsidRPr="00DC59F3">
        <w:rPr>
          <w:rFonts w:hint="eastAsia"/>
          <w:sz w:val="24"/>
          <w:szCs w:val="24"/>
        </w:rPr>
        <w:t>59</w:t>
      </w:r>
      <w:r w:rsidRPr="00DC59F3">
        <w:rPr>
          <w:rFonts w:hint="eastAsia"/>
          <w:sz w:val="24"/>
          <w:szCs w:val="24"/>
        </w:rPr>
        <w:t>亿元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连续四年亏损，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被退市；</w:t>
      </w:r>
      <w:r>
        <w:rPr>
          <w:rFonts w:hint="eastAsia"/>
          <w:sz w:val="24"/>
          <w:szCs w:val="24"/>
        </w:rPr>
        <w:t>中海</w:t>
      </w:r>
      <w:r>
        <w:rPr>
          <w:sz w:val="24"/>
          <w:szCs w:val="24"/>
        </w:rPr>
        <w:t>发展亏损</w:t>
      </w:r>
      <w:r>
        <w:rPr>
          <w:rFonts w:hint="eastAsia"/>
          <w:sz w:val="24"/>
          <w:szCs w:val="24"/>
        </w:rPr>
        <w:t>22.98</w:t>
      </w:r>
      <w:r>
        <w:rPr>
          <w:rFonts w:hint="eastAsia"/>
          <w:sz w:val="24"/>
          <w:szCs w:val="24"/>
        </w:rPr>
        <w:t>亿元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通过</w:t>
      </w:r>
      <w:r>
        <w:rPr>
          <w:sz w:val="24"/>
          <w:szCs w:val="24"/>
        </w:rPr>
        <w:t>一次性资产减值，实现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轻装上阵，</w:t>
      </w:r>
      <w:r>
        <w:rPr>
          <w:rFonts w:hint="eastAsia"/>
          <w:sz w:val="24"/>
          <w:szCs w:val="24"/>
        </w:rPr>
        <w:t>今年</w:t>
      </w:r>
      <w:r>
        <w:rPr>
          <w:sz w:val="24"/>
          <w:szCs w:val="24"/>
        </w:rPr>
        <w:t>有望实现扭亏；</w:t>
      </w:r>
      <w:r>
        <w:rPr>
          <w:rFonts w:hint="eastAsia"/>
          <w:sz w:val="24"/>
          <w:szCs w:val="24"/>
        </w:rPr>
        <w:t>中海海盛</w:t>
      </w:r>
      <w:r>
        <w:rPr>
          <w:sz w:val="24"/>
          <w:szCs w:val="24"/>
        </w:rPr>
        <w:t>实现扭亏，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净利润</w:t>
      </w:r>
      <w:r w:rsidRPr="00DC59F3">
        <w:rPr>
          <w:rFonts w:hint="eastAsia"/>
          <w:sz w:val="24"/>
          <w:szCs w:val="24"/>
        </w:rPr>
        <w:t>为</w:t>
      </w:r>
      <w:r w:rsidRPr="00DC59F3">
        <w:rPr>
          <w:rFonts w:hint="eastAsia"/>
          <w:sz w:val="24"/>
          <w:szCs w:val="24"/>
        </w:rPr>
        <w:t>1823.45</w:t>
      </w:r>
      <w:r w:rsidRPr="00DC59F3">
        <w:rPr>
          <w:rFonts w:hint="eastAsia"/>
          <w:sz w:val="24"/>
          <w:szCs w:val="24"/>
        </w:rPr>
        <w:t>万元</w:t>
      </w:r>
      <w:r>
        <w:rPr>
          <w:rFonts w:hint="eastAsia"/>
          <w:sz w:val="24"/>
          <w:szCs w:val="24"/>
        </w:rPr>
        <w:t>。</w:t>
      </w:r>
    </w:p>
    <w:p w:rsidR="00211840" w:rsidRDefault="00DC59F3" w:rsidP="00211840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远洋新造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艘</w:t>
      </w:r>
      <w:r>
        <w:rPr>
          <w:sz w:val="24"/>
          <w:szCs w:val="24"/>
        </w:rPr>
        <w:t>散货船，</w:t>
      </w:r>
      <w:r w:rsidR="00FD1A15">
        <w:rPr>
          <w:rFonts w:hint="eastAsia"/>
          <w:sz w:val="24"/>
          <w:szCs w:val="24"/>
        </w:rPr>
        <w:t>随着</w:t>
      </w:r>
      <w:r w:rsidR="00FD1A15">
        <w:rPr>
          <w:sz w:val="24"/>
          <w:szCs w:val="24"/>
        </w:rPr>
        <w:t>租入运力逐步减少，</w:t>
      </w:r>
      <w:r w:rsidR="00FD1A15">
        <w:rPr>
          <w:rFonts w:hint="eastAsia"/>
          <w:sz w:val="24"/>
          <w:szCs w:val="24"/>
        </w:rPr>
        <w:t>利用当前</w:t>
      </w:r>
      <w:r w:rsidR="00FD1A15">
        <w:rPr>
          <w:sz w:val="24"/>
          <w:szCs w:val="24"/>
        </w:rPr>
        <w:t>低价造船有利于提升盈利能力。</w:t>
      </w:r>
      <w:bookmarkStart w:id="0" w:name="_GoBack"/>
      <w:bookmarkEnd w:id="0"/>
    </w:p>
    <w:p w:rsidR="00DB0636" w:rsidRPr="00DB0636" w:rsidRDefault="00DB0636" w:rsidP="00C717F1">
      <w:pPr>
        <w:spacing w:line="360" w:lineRule="auto"/>
        <w:ind w:firstLineChars="200" w:firstLine="480"/>
        <w:rPr>
          <w:sz w:val="24"/>
          <w:szCs w:val="24"/>
        </w:rPr>
      </w:pPr>
      <w:r w:rsidRPr="00807733">
        <w:rPr>
          <w:rFonts w:hint="eastAsia"/>
          <w:sz w:val="24"/>
          <w:szCs w:val="24"/>
        </w:rPr>
        <w:t>波罗的海</w:t>
      </w:r>
      <w:r w:rsidR="00912A6D">
        <w:rPr>
          <w:rFonts w:hint="eastAsia"/>
          <w:sz w:val="24"/>
          <w:szCs w:val="24"/>
        </w:rPr>
        <w:t>干散货指数（</w:t>
      </w:r>
      <w:r w:rsidR="00912A6D">
        <w:rPr>
          <w:rFonts w:hint="eastAsia"/>
          <w:sz w:val="24"/>
          <w:szCs w:val="24"/>
        </w:rPr>
        <w:t>BDI</w:t>
      </w:r>
      <w:r w:rsidR="00912A6D">
        <w:rPr>
          <w:rFonts w:hint="eastAsia"/>
          <w:sz w:val="24"/>
          <w:szCs w:val="24"/>
        </w:rPr>
        <w:t>）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rFonts w:hint="eastAsia"/>
          <w:sz w:val="24"/>
          <w:szCs w:val="24"/>
        </w:rPr>
        <w:t>3</w:t>
      </w:r>
      <w:r w:rsidR="00881103">
        <w:rPr>
          <w:rFonts w:hint="eastAsia"/>
          <w:sz w:val="24"/>
          <w:szCs w:val="24"/>
        </w:rPr>
        <w:t>月</w:t>
      </w:r>
      <w:r w:rsidR="00881103">
        <w:rPr>
          <w:rFonts w:hint="eastAsia"/>
          <w:sz w:val="24"/>
          <w:szCs w:val="24"/>
        </w:rPr>
        <w:t>21</w:t>
      </w:r>
      <w:r w:rsidR="00881103">
        <w:rPr>
          <w:rFonts w:hint="eastAsia"/>
          <w:sz w:val="24"/>
          <w:szCs w:val="24"/>
        </w:rPr>
        <w:t>日</w:t>
      </w:r>
      <w:r w:rsidR="00912A6D">
        <w:rPr>
          <w:rFonts w:hint="eastAsia"/>
          <w:sz w:val="24"/>
          <w:szCs w:val="24"/>
        </w:rPr>
        <w:t>收于</w:t>
      </w:r>
      <w:r w:rsidR="0071071A">
        <w:rPr>
          <w:rFonts w:hint="eastAsia"/>
          <w:sz w:val="24"/>
          <w:szCs w:val="24"/>
        </w:rPr>
        <w:t>1</w:t>
      </w:r>
      <w:r w:rsidR="002853A9">
        <w:rPr>
          <w:sz w:val="24"/>
          <w:szCs w:val="24"/>
        </w:rPr>
        <w:t>599</w:t>
      </w:r>
      <w:r w:rsidR="000146A6">
        <w:rPr>
          <w:rFonts w:hint="eastAsia"/>
          <w:sz w:val="24"/>
          <w:szCs w:val="24"/>
        </w:rPr>
        <w:t>点</w:t>
      </w:r>
      <w:r w:rsidR="0071071A">
        <w:rPr>
          <w:rFonts w:hint="eastAsia"/>
          <w:sz w:val="24"/>
          <w:szCs w:val="24"/>
        </w:rPr>
        <w:t>，一周表现优于上周</w:t>
      </w:r>
      <w:r w:rsidR="000B0FDE">
        <w:rPr>
          <w:rFonts w:hint="eastAsia"/>
          <w:sz w:val="24"/>
          <w:szCs w:val="24"/>
        </w:rPr>
        <w:t>；</w:t>
      </w:r>
      <w:r w:rsidR="00912A6D" w:rsidRPr="00807733">
        <w:rPr>
          <w:rFonts w:hint="eastAsia"/>
          <w:sz w:val="24"/>
          <w:szCs w:val="24"/>
        </w:rPr>
        <w:t>波罗的海</w:t>
      </w:r>
      <w:r w:rsidRPr="00807733">
        <w:rPr>
          <w:rFonts w:hint="eastAsia"/>
          <w:sz w:val="24"/>
          <w:szCs w:val="24"/>
        </w:rPr>
        <w:t>原油运价指数（</w:t>
      </w:r>
      <w:r w:rsidRPr="00807733">
        <w:rPr>
          <w:rFonts w:hint="eastAsia"/>
          <w:sz w:val="24"/>
          <w:szCs w:val="24"/>
        </w:rPr>
        <w:t>BDTI</w:t>
      </w:r>
      <w:r w:rsidRPr="00807733">
        <w:rPr>
          <w:rFonts w:hint="eastAsia"/>
          <w:sz w:val="24"/>
          <w:szCs w:val="24"/>
        </w:rPr>
        <w:t>）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sz w:val="24"/>
          <w:szCs w:val="24"/>
        </w:rPr>
        <w:t>3</w:t>
      </w:r>
      <w:r w:rsidR="00881103">
        <w:rPr>
          <w:sz w:val="24"/>
          <w:szCs w:val="24"/>
        </w:rPr>
        <w:t>月</w:t>
      </w:r>
      <w:r w:rsidR="00881103">
        <w:rPr>
          <w:sz w:val="24"/>
          <w:szCs w:val="24"/>
        </w:rPr>
        <w:t>21</w:t>
      </w:r>
      <w:r w:rsidR="00881103">
        <w:rPr>
          <w:sz w:val="24"/>
          <w:szCs w:val="24"/>
        </w:rPr>
        <w:t>日</w:t>
      </w:r>
      <w:r w:rsidRPr="00807733">
        <w:rPr>
          <w:rFonts w:hint="eastAsia"/>
          <w:sz w:val="24"/>
          <w:szCs w:val="24"/>
        </w:rPr>
        <w:t>收于</w:t>
      </w:r>
      <w:r w:rsidR="002853A9">
        <w:rPr>
          <w:sz w:val="24"/>
          <w:szCs w:val="24"/>
        </w:rPr>
        <w:t>712</w:t>
      </w:r>
      <w:r w:rsidR="00ED1176">
        <w:rPr>
          <w:rFonts w:hint="eastAsia"/>
          <w:sz w:val="24"/>
          <w:szCs w:val="24"/>
        </w:rPr>
        <w:t>点</w:t>
      </w:r>
      <w:r w:rsidR="00E668E8">
        <w:rPr>
          <w:rFonts w:hint="eastAsia"/>
          <w:sz w:val="24"/>
          <w:szCs w:val="24"/>
        </w:rPr>
        <w:t>，</w:t>
      </w:r>
      <w:r w:rsidR="0071071A">
        <w:rPr>
          <w:rFonts w:hint="eastAsia"/>
          <w:sz w:val="24"/>
          <w:szCs w:val="24"/>
        </w:rPr>
        <w:t>较上周有所下滑</w:t>
      </w:r>
      <w:r w:rsidRPr="00807733">
        <w:rPr>
          <w:rFonts w:hint="eastAsia"/>
          <w:sz w:val="24"/>
          <w:szCs w:val="24"/>
        </w:rPr>
        <w:t>；中国出口集装箱运输指数（</w:t>
      </w:r>
      <w:r w:rsidRPr="00807733">
        <w:rPr>
          <w:rFonts w:hint="eastAsia"/>
          <w:sz w:val="24"/>
          <w:szCs w:val="24"/>
        </w:rPr>
        <w:t>CCFI</w:t>
      </w:r>
      <w:r w:rsidRPr="00807733">
        <w:rPr>
          <w:rFonts w:hint="eastAsia"/>
          <w:sz w:val="24"/>
          <w:szCs w:val="24"/>
        </w:rPr>
        <w:t>）</w:t>
      </w:r>
      <w:r w:rsidR="00F16118">
        <w:rPr>
          <w:rFonts w:hint="eastAsia"/>
          <w:sz w:val="24"/>
          <w:szCs w:val="24"/>
        </w:rPr>
        <w:t xml:space="preserve"> </w:t>
      </w:r>
      <w:r w:rsidR="00881103">
        <w:rPr>
          <w:rFonts w:hint="eastAsia"/>
          <w:sz w:val="24"/>
          <w:szCs w:val="24"/>
        </w:rPr>
        <w:t>3</w:t>
      </w:r>
      <w:r w:rsidR="00881103">
        <w:rPr>
          <w:rFonts w:hint="eastAsia"/>
          <w:sz w:val="24"/>
          <w:szCs w:val="24"/>
        </w:rPr>
        <w:t>月</w:t>
      </w:r>
      <w:r w:rsidR="00881103">
        <w:rPr>
          <w:rFonts w:hint="eastAsia"/>
          <w:sz w:val="24"/>
          <w:szCs w:val="24"/>
        </w:rPr>
        <w:t>21</w:t>
      </w:r>
      <w:r w:rsidR="00881103">
        <w:rPr>
          <w:rFonts w:hint="eastAsia"/>
          <w:sz w:val="24"/>
          <w:szCs w:val="24"/>
        </w:rPr>
        <w:t>日</w:t>
      </w:r>
      <w:r w:rsidRPr="00807733">
        <w:rPr>
          <w:rFonts w:hint="eastAsia"/>
          <w:sz w:val="24"/>
          <w:szCs w:val="24"/>
        </w:rPr>
        <w:t>收于</w:t>
      </w:r>
      <w:r w:rsidR="000466FE">
        <w:rPr>
          <w:rFonts w:hint="eastAsia"/>
          <w:sz w:val="24"/>
          <w:szCs w:val="24"/>
        </w:rPr>
        <w:t>10</w:t>
      </w:r>
      <w:r w:rsidR="002853A9">
        <w:rPr>
          <w:sz w:val="24"/>
          <w:szCs w:val="24"/>
        </w:rPr>
        <w:t>68</w:t>
      </w:r>
      <w:r w:rsidR="007B3AA9">
        <w:rPr>
          <w:rFonts w:hint="eastAsia"/>
          <w:sz w:val="24"/>
          <w:szCs w:val="24"/>
        </w:rPr>
        <w:t>点</w:t>
      </w:r>
      <w:r w:rsidR="00E87948">
        <w:rPr>
          <w:rFonts w:hint="eastAsia"/>
          <w:sz w:val="24"/>
          <w:szCs w:val="24"/>
        </w:rPr>
        <w:t>，</w:t>
      </w:r>
      <w:r w:rsidR="00E87948">
        <w:rPr>
          <w:sz w:val="24"/>
          <w:szCs w:val="24"/>
        </w:rPr>
        <w:t>较上周</w:t>
      </w:r>
      <w:r w:rsidR="0071071A">
        <w:rPr>
          <w:rFonts w:hint="eastAsia"/>
          <w:sz w:val="24"/>
          <w:szCs w:val="24"/>
        </w:rPr>
        <w:t>下跌</w:t>
      </w:r>
      <w:r w:rsidR="009D06F6">
        <w:rPr>
          <w:sz w:val="24"/>
          <w:szCs w:val="24"/>
        </w:rPr>
        <w:t>0</w:t>
      </w:r>
      <w:r w:rsidR="000466FE">
        <w:rPr>
          <w:sz w:val="24"/>
          <w:szCs w:val="24"/>
        </w:rPr>
        <w:t>.6</w:t>
      </w:r>
      <w:r w:rsidR="0071071A">
        <w:rPr>
          <w:rFonts w:hint="eastAsia"/>
          <w:sz w:val="24"/>
          <w:szCs w:val="24"/>
        </w:rPr>
        <w:t>%</w:t>
      </w:r>
      <w:r>
        <w:rPr>
          <w:rFonts w:hint="eastAsia"/>
          <w:sz w:val="24"/>
          <w:szCs w:val="24"/>
        </w:rPr>
        <w:t>。</w:t>
      </w:r>
    </w:p>
    <w:sectPr w:rsidR="00DB0636" w:rsidRPr="00DB0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A8" w:rsidRDefault="007E1EA8" w:rsidP="000B3E77">
      <w:r>
        <w:separator/>
      </w:r>
    </w:p>
  </w:endnote>
  <w:endnote w:type="continuationSeparator" w:id="0">
    <w:p w:rsidR="007E1EA8" w:rsidRDefault="007E1EA8" w:rsidP="000B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A8" w:rsidRDefault="007E1EA8" w:rsidP="000B3E77">
      <w:r>
        <w:separator/>
      </w:r>
    </w:p>
  </w:footnote>
  <w:footnote w:type="continuationSeparator" w:id="0">
    <w:p w:rsidR="007E1EA8" w:rsidRDefault="007E1EA8" w:rsidP="000B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167"/>
    <w:multiLevelType w:val="hybridMultilevel"/>
    <w:tmpl w:val="A4DAB284"/>
    <w:lvl w:ilvl="0" w:tplc="C62AB74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2F235A"/>
    <w:multiLevelType w:val="hybridMultilevel"/>
    <w:tmpl w:val="AE30F2A0"/>
    <w:lvl w:ilvl="0" w:tplc="1F6A7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9038F6"/>
    <w:multiLevelType w:val="hybridMultilevel"/>
    <w:tmpl w:val="845AE6D6"/>
    <w:lvl w:ilvl="0" w:tplc="3BD4B7C4">
      <w:start w:val="1"/>
      <w:numFmt w:val="japaneseCounting"/>
      <w:lvlText w:val="%1."/>
      <w:lvlJc w:val="left"/>
      <w:pPr>
        <w:ind w:left="390" w:hanging="39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3DA"/>
    <w:rsid w:val="0000054C"/>
    <w:rsid w:val="00004884"/>
    <w:rsid w:val="000050F7"/>
    <w:rsid w:val="000063C2"/>
    <w:rsid w:val="00006FDB"/>
    <w:rsid w:val="00011709"/>
    <w:rsid w:val="00012109"/>
    <w:rsid w:val="00012432"/>
    <w:rsid w:val="000130D4"/>
    <w:rsid w:val="000131A2"/>
    <w:rsid w:val="00014640"/>
    <w:rsid w:val="000146A6"/>
    <w:rsid w:val="0001475E"/>
    <w:rsid w:val="00014E2F"/>
    <w:rsid w:val="00017CCC"/>
    <w:rsid w:val="000234CC"/>
    <w:rsid w:val="00023970"/>
    <w:rsid w:val="0002427F"/>
    <w:rsid w:val="000318FC"/>
    <w:rsid w:val="00034D1B"/>
    <w:rsid w:val="000428D4"/>
    <w:rsid w:val="000466FE"/>
    <w:rsid w:val="00050C10"/>
    <w:rsid w:val="00050F59"/>
    <w:rsid w:val="00051AC2"/>
    <w:rsid w:val="00051BEC"/>
    <w:rsid w:val="00051F92"/>
    <w:rsid w:val="00051FC7"/>
    <w:rsid w:val="00053E92"/>
    <w:rsid w:val="00055DE8"/>
    <w:rsid w:val="000572AA"/>
    <w:rsid w:val="000659E8"/>
    <w:rsid w:val="00066B48"/>
    <w:rsid w:val="00071506"/>
    <w:rsid w:val="000723B6"/>
    <w:rsid w:val="00075198"/>
    <w:rsid w:val="0007615F"/>
    <w:rsid w:val="0008403C"/>
    <w:rsid w:val="000845D4"/>
    <w:rsid w:val="00086B9B"/>
    <w:rsid w:val="00087B1C"/>
    <w:rsid w:val="00093A08"/>
    <w:rsid w:val="000949AA"/>
    <w:rsid w:val="00094B27"/>
    <w:rsid w:val="00096871"/>
    <w:rsid w:val="000A1EA9"/>
    <w:rsid w:val="000B0FDE"/>
    <w:rsid w:val="000B11CE"/>
    <w:rsid w:val="000B1DAF"/>
    <w:rsid w:val="000B388D"/>
    <w:rsid w:val="000B3E77"/>
    <w:rsid w:val="000B4F86"/>
    <w:rsid w:val="000B7D07"/>
    <w:rsid w:val="000C73B3"/>
    <w:rsid w:val="000D1C5D"/>
    <w:rsid w:val="000D33D0"/>
    <w:rsid w:val="000D4537"/>
    <w:rsid w:val="000D713F"/>
    <w:rsid w:val="000E1DFA"/>
    <w:rsid w:val="000E320D"/>
    <w:rsid w:val="000F569F"/>
    <w:rsid w:val="00105BCA"/>
    <w:rsid w:val="0011482B"/>
    <w:rsid w:val="0012133A"/>
    <w:rsid w:val="0012179D"/>
    <w:rsid w:val="00122AA1"/>
    <w:rsid w:val="00127C48"/>
    <w:rsid w:val="001335AE"/>
    <w:rsid w:val="0014128B"/>
    <w:rsid w:val="001427DB"/>
    <w:rsid w:val="00143036"/>
    <w:rsid w:val="00145EB4"/>
    <w:rsid w:val="0015025B"/>
    <w:rsid w:val="00151C22"/>
    <w:rsid w:val="001556B3"/>
    <w:rsid w:val="00155D7E"/>
    <w:rsid w:val="0015616C"/>
    <w:rsid w:val="00156DBE"/>
    <w:rsid w:val="0016240E"/>
    <w:rsid w:val="001651A3"/>
    <w:rsid w:val="00166341"/>
    <w:rsid w:val="00166481"/>
    <w:rsid w:val="00174BC5"/>
    <w:rsid w:val="00176381"/>
    <w:rsid w:val="00180771"/>
    <w:rsid w:val="00182F6D"/>
    <w:rsid w:val="0018770A"/>
    <w:rsid w:val="0019634E"/>
    <w:rsid w:val="00196A07"/>
    <w:rsid w:val="00197D81"/>
    <w:rsid w:val="001A0894"/>
    <w:rsid w:val="001A3C85"/>
    <w:rsid w:val="001A7FBF"/>
    <w:rsid w:val="001B0C3C"/>
    <w:rsid w:val="001B2B36"/>
    <w:rsid w:val="001B47F9"/>
    <w:rsid w:val="001B6098"/>
    <w:rsid w:val="001C0DA9"/>
    <w:rsid w:val="001C2B65"/>
    <w:rsid w:val="001C2E0A"/>
    <w:rsid w:val="001C372B"/>
    <w:rsid w:val="001C5194"/>
    <w:rsid w:val="001C651C"/>
    <w:rsid w:val="001C6D29"/>
    <w:rsid w:val="001D3778"/>
    <w:rsid w:val="001E2BAE"/>
    <w:rsid w:val="001E3FCE"/>
    <w:rsid w:val="001F0F7C"/>
    <w:rsid w:val="001F3BE4"/>
    <w:rsid w:val="001F5754"/>
    <w:rsid w:val="001F5C54"/>
    <w:rsid w:val="002023DA"/>
    <w:rsid w:val="00202B29"/>
    <w:rsid w:val="00203FD2"/>
    <w:rsid w:val="00210A5C"/>
    <w:rsid w:val="00211840"/>
    <w:rsid w:val="00211E05"/>
    <w:rsid w:val="002131FB"/>
    <w:rsid w:val="00214EAD"/>
    <w:rsid w:val="002231EE"/>
    <w:rsid w:val="00223823"/>
    <w:rsid w:val="00230FF9"/>
    <w:rsid w:val="00232233"/>
    <w:rsid w:val="002331EA"/>
    <w:rsid w:val="00236541"/>
    <w:rsid w:val="0023768F"/>
    <w:rsid w:val="002401FB"/>
    <w:rsid w:val="00240741"/>
    <w:rsid w:val="00243727"/>
    <w:rsid w:val="00245D2F"/>
    <w:rsid w:val="00247892"/>
    <w:rsid w:val="0025363F"/>
    <w:rsid w:val="002543BB"/>
    <w:rsid w:val="002575D3"/>
    <w:rsid w:val="00260953"/>
    <w:rsid w:val="002650AC"/>
    <w:rsid w:val="00267102"/>
    <w:rsid w:val="002735B9"/>
    <w:rsid w:val="00273658"/>
    <w:rsid w:val="00280575"/>
    <w:rsid w:val="0028138E"/>
    <w:rsid w:val="0028180A"/>
    <w:rsid w:val="00284FDC"/>
    <w:rsid w:val="002853A9"/>
    <w:rsid w:val="00287A89"/>
    <w:rsid w:val="00290B97"/>
    <w:rsid w:val="00296650"/>
    <w:rsid w:val="002973DF"/>
    <w:rsid w:val="00297565"/>
    <w:rsid w:val="00297D2E"/>
    <w:rsid w:val="002A2DB4"/>
    <w:rsid w:val="002A3B99"/>
    <w:rsid w:val="002A5AB6"/>
    <w:rsid w:val="002A6791"/>
    <w:rsid w:val="002A7BA0"/>
    <w:rsid w:val="002B69E3"/>
    <w:rsid w:val="002C480B"/>
    <w:rsid w:val="002C66DC"/>
    <w:rsid w:val="002D7455"/>
    <w:rsid w:val="002E76B0"/>
    <w:rsid w:val="003010C5"/>
    <w:rsid w:val="00302161"/>
    <w:rsid w:val="00303865"/>
    <w:rsid w:val="00304798"/>
    <w:rsid w:val="00310256"/>
    <w:rsid w:val="00312673"/>
    <w:rsid w:val="00312929"/>
    <w:rsid w:val="0031547E"/>
    <w:rsid w:val="00320488"/>
    <w:rsid w:val="003209CE"/>
    <w:rsid w:val="003212E6"/>
    <w:rsid w:val="00324A9F"/>
    <w:rsid w:val="00330D08"/>
    <w:rsid w:val="00334E50"/>
    <w:rsid w:val="00336417"/>
    <w:rsid w:val="003367FF"/>
    <w:rsid w:val="0034165E"/>
    <w:rsid w:val="00343E81"/>
    <w:rsid w:val="00345A02"/>
    <w:rsid w:val="00346C1E"/>
    <w:rsid w:val="00350A42"/>
    <w:rsid w:val="00351A7E"/>
    <w:rsid w:val="00361C86"/>
    <w:rsid w:val="003628A8"/>
    <w:rsid w:val="00363DF5"/>
    <w:rsid w:val="0037117F"/>
    <w:rsid w:val="00371E93"/>
    <w:rsid w:val="00373DCE"/>
    <w:rsid w:val="0037735D"/>
    <w:rsid w:val="00377E96"/>
    <w:rsid w:val="00380C2C"/>
    <w:rsid w:val="00385BF6"/>
    <w:rsid w:val="003860FF"/>
    <w:rsid w:val="00387356"/>
    <w:rsid w:val="00392A43"/>
    <w:rsid w:val="00393036"/>
    <w:rsid w:val="00394AC8"/>
    <w:rsid w:val="00396432"/>
    <w:rsid w:val="00396AE8"/>
    <w:rsid w:val="003A0346"/>
    <w:rsid w:val="003A2B52"/>
    <w:rsid w:val="003A49D0"/>
    <w:rsid w:val="003B0B7C"/>
    <w:rsid w:val="003B2934"/>
    <w:rsid w:val="003B4011"/>
    <w:rsid w:val="003B755B"/>
    <w:rsid w:val="003C1C61"/>
    <w:rsid w:val="003C26E7"/>
    <w:rsid w:val="003C2CE3"/>
    <w:rsid w:val="003C3235"/>
    <w:rsid w:val="003C3C7F"/>
    <w:rsid w:val="003C73AC"/>
    <w:rsid w:val="003D0E91"/>
    <w:rsid w:val="003D4BAE"/>
    <w:rsid w:val="003D7008"/>
    <w:rsid w:val="003D776C"/>
    <w:rsid w:val="003E102A"/>
    <w:rsid w:val="003E6389"/>
    <w:rsid w:val="0040198F"/>
    <w:rsid w:val="00403699"/>
    <w:rsid w:val="00404E71"/>
    <w:rsid w:val="004054EC"/>
    <w:rsid w:val="00405B53"/>
    <w:rsid w:val="004062FE"/>
    <w:rsid w:val="00406326"/>
    <w:rsid w:val="004122CD"/>
    <w:rsid w:val="004130F2"/>
    <w:rsid w:val="004133E7"/>
    <w:rsid w:val="0042091E"/>
    <w:rsid w:val="00423F6D"/>
    <w:rsid w:val="004244F4"/>
    <w:rsid w:val="004311C0"/>
    <w:rsid w:val="00437390"/>
    <w:rsid w:val="00441754"/>
    <w:rsid w:val="00445924"/>
    <w:rsid w:val="0044688F"/>
    <w:rsid w:val="004500D7"/>
    <w:rsid w:val="00451809"/>
    <w:rsid w:val="00454E62"/>
    <w:rsid w:val="004625E1"/>
    <w:rsid w:val="004707C9"/>
    <w:rsid w:val="00472620"/>
    <w:rsid w:val="004834C5"/>
    <w:rsid w:val="0048436C"/>
    <w:rsid w:val="004909F0"/>
    <w:rsid w:val="004910EC"/>
    <w:rsid w:val="0049550B"/>
    <w:rsid w:val="004A0BC8"/>
    <w:rsid w:val="004A159D"/>
    <w:rsid w:val="004A1A16"/>
    <w:rsid w:val="004B1EC5"/>
    <w:rsid w:val="004B576D"/>
    <w:rsid w:val="004C0770"/>
    <w:rsid w:val="004D2A3D"/>
    <w:rsid w:val="004D34B7"/>
    <w:rsid w:val="004E00F6"/>
    <w:rsid w:val="004E3376"/>
    <w:rsid w:val="004E4DD3"/>
    <w:rsid w:val="004F0D54"/>
    <w:rsid w:val="004F3D32"/>
    <w:rsid w:val="004F3FB8"/>
    <w:rsid w:val="004F5C75"/>
    <w:rsid w:val="004F6727"/>
    <w:rsid w:val="004F6A64"/>
    <w:rsid w:val="00505DD6"/>
    <w:rsid w:val="0050730F"/>
    <w:rsid w:val="00511D98"/>
    <w:rsid w:val="0051344E"/>
    <w:rsid w:val="005173A9"/>
    <w:rsid w:val="005204B4"/>
    <w:rsid w:val="00527674"/>
    <w:rsid w:val="00530F8B"/>
    <w:rsid w:val="00535067"/>
    <w:rsid w:val="00536D52"/>
    <w:rsid w:val="005534E6"/>
    <w:rsid w:val="0055523A"/>
    <w:rsid w:val="00557B07"/>
    <w:rsid w:val="005601FC"/>
    <w:rsid w:val="005615D8"/>
    <w:rsid w:val="00564964"/>
    <w:rsid w:val="0056687F"/>
    <w:rsid w:val="0057449A"/>
    <w:rsid w:val="00580285"/>
    <w:rsid w:val="0058058B"/>
    <w:rsid w:val="00593FA2"/>
    <w:rsid w:val="00594A7F"/>
    <w:rsid w:val="00595C81"/>
    <w:rsid w:val="00596619"/>
    <w:rsid w:val="005976EA"/>
    <w:rsid w:val="00597C6B"/>
    <w:rsid w:val="005A1407"/>
    <w:rsid w:val="005A2F1E"/>
    <w:rsid w:val="005A5330"/>
    <w:rsid w:val="005B2912"/>
    <w:rsid w:val="005B49AD"/>
    <w:rsid w:val="005C5A5E"/>
    <w:rsid w:val="005C63CB"/>
    <w:rsid w:val="005D3294"/>
    <w:rsid w:val="005D4E70"/>
    <w:rsid w:val="005E26CD"/>
    <w:rsid w:val="005F0B04"/>
    <w:rsid w:val="005F7084"/>
    <w:rsid w:val="00601327"/>
    <w:rsid w:val="006031C5"/>
    <w:rsid w:val="00610B72"/>
    <w:rsid w:val="00614898"/>
    <w:rsid w:val="006152C0"/>
    <w:rsid w:val="00615C7F"/>
    <w:rsid w:val="00620106"/>
    <w:rsid w:val="006325F2"/>
    <w:rsid w:val="0064421C"/>
    <w:rsid w:val="00644B8B"/>
    <w:rsid w:val="006516B2"/>
    <w:rsid w:val="006521B3"/>
    <w:rsid w:val="00656694"/>
    <w:rsid w:val="00657453"/>
    <w:rsid w:val="006607D7"/>
    <w:rsid w:val="006614DB"/>
    <w:rsid w:val="00661DE7"/>
    <w:rsid w:val="0066648A"/>
    <w:rsid w:val="00667190"/>
    <w:rsid w:val="006819FC"/>
    <w:rsid w:val="00684462"/>
    <w:rsid w:val="00690D08"/>
    <w:rsid w:val="00693564"/>
    <w:rsid w:val="006A3DC3"/>
    <w:rsid w:val="006A403D"/>
    <w:rsid w:val="006A4316"/>
    <w:rsid w:val="006A6745"/>
    <w:rsid w:val="006B2C9C"/>
    <w:rsid w:val="006B3586"/>
    <w:rsid w:val="006C10A7"/>
    <w:rsid w:val="006C3A0F"/>
    <w:rsid w:val="006C6574"/>
    <w:rsid w:val="006D332C"/>
    <w:rsid w:val="006D7FE1"/>
    <w:rsid w:val="006E0C92"/>
    <w:rsid w:val="006E10BE"/>
    <w:rsid w:val="006E6F1A"/>
    <w:rsid w:val="006E6F5D"/>
    <w:rsid w:val="006E7481"/>
    <w:rsid w:val="006E74D4"/>
    <w:rsid w:val="006E7DF9"/>
    <w:rsid w:val="006F0519"/>
    <w:rsid w:val="006F1B09"/>
    <w:rsid w:val="006F2605"/>
    <w:rsid w:val="006F328C"/>
    <w:rsid w:val="006F48F6"/>
    <w:rsid w:val="006F4E5E"/>
    <w:rsid w:val="006F6A78"/>
    <w:rsid w:val="00704142"/>
    <w:rsid w:val="0070555F"/>
    <w:rsid w:val="0071071A"/>
    <w:rsid w:val="00713D42"/>
    <w:rsid w:val="00720749"/>
    <w:rsid w:val="00721DC6"/>
    <w:rsid w:val="007253AA"/>
    <w:rsid w:val="00734F42"/>
    <w:rsid w:val="00736BCB"/>
    <w:rsid w:val="00751336"/>
    <w:rsid w:val="00752118"/>
    <w:rsid w:val="00753D39"/>
    <w:rsid w:val="00754C69"/>
    <w:rsid w:val="00757BA3"/>
    <w:rsid w:val="00770591"/>
    <w:rsid w:val="00774F15"/>
    <w:rsid w:val="00775A78"/>
    <w:rsid w:val="00780AC7"/>
    <w:rsid w:val="00782BB3"/>
    <w:rsid w:val="00782C04"/>
    <w:rsid w:val="0078603C"/>
    <w:rsid w:val="007863B5"/>
    <w:rsid w:val="007869A7"/>
    <w:rsid w:val="007877CD"/>
    <w:rsid w:val="007926AA"/>
    <w:rsid w:val="00793BB2"/>
    <w:rsid w:val="00794085"/>
    <w:rsid w:val="00795A52"/>
    <w:rsid w:val="007A153D"/>
    <w:rsid w:val="007A21A6"/>
    <w:rsid w:val="007A698D"/>
    <w:rsid w:val="007B3AA9"/>
    <w:rsid w:val="007B5A04"/>
    <w:rsid w:val="007C45A2"/>
    <w:rsid w:val="007C5979"/>
    <w:rsid w:val="007D103B"/>
    <w:rsid w:val="007D20EF"/>
    <w:rsid w:val="007D44F4"/>
    <w:rsid w:val="007D6188"/>
    <w:rsid w:val="007E1EA8"/>
    <w:rsid w:val="007E3B7A"/>
    <w:rsid w:val="007E545E"/>
    <w:rsid w:val="007F56DA"/>
    <w:rsid w:val="007F79E2"/>
    <w:rsid w:val="008038BA"/>
    <w:rsid w:val="008058B0"/>
    <w:rsid w:val="00807733"/>
    <w:rsid w:val="00810343"/>
    <w:rsid w:val="00811C8A"/>
    <w:rsid w:val="00815118"/>
    <w:rsid w:val="00820DDF"/>
    <w:rsid w:val="008217F6"/>
    <w:rsid w:val="0082227F"/>
    <w:rsid w:val="00822984"/>
    <w:rsid w:val="0082469C"/>
    <w:rsid w:val="00825F5B"/>
    <w:rsid w:val="00826AA5"/>
    <w:rsid w:val="00826B72"/>
    <w:rsid w:val="00826BEB"/>
    <w:rsid w:val="008270C3"/>
    <w:rsid w:val="008304A2"/>
    <w:rsid w:val="0083279C"/>
    <w:rsid w:val="008422C9"/>
    <w:rsid w:val="00842D9F"/>
    <w:rsid w:val="008502D5"/>
    <w:rsid w:val="00851D64"/>
    <w:rsid w:val="008540A4"/>
    <w:rsid w:val="00862A8A"/>
    <w:rsid w:val="00865811"/>
    <w:rsid w:val="0086741C"/>
    <w:rsid w:val="008705CA"/>
    <w:rsid w:val="00870850"/>
    <w:rsid w:val="00870C8B"/>
    <w:rsid w:val="00870CD3"/>
    <w:rsid w:val="00870DF2"/>
    <w:rsid w:val="00871BFF"/>
    <w:rsid w:val="00872CB8"/>
    <w:rsid w:val="008730E4"/>
    <w:rsid w:val="008734C5"/>
    <w:rsid w:val="00875D07"/>
    <w:rsid w:val="008777BF"/>
    <w:rsid w:val="00877F74"/>
    <w:rsid w:val="008803CF"/>
    <w:rsid w:val="0088096B"/>
    <w:rsid w:val="00881103"/>
    <w:rsid w:val="00881B67"/>
    <w:rsid w:val="0088388E"/>
    <w:rsid w:val="008851C5"/>
    <w:rsid w:val="00887348"/>
    <w:rsid w:val="008873E0"/>
    <w:rsid w:val="00891999"/>
    <w:rsid w:val="0089362F"/>
    <w:rsid w:val="00895A10"/>
    <w:rsid w:val="00897F75"/>
    <w:rsid w:val="008A08EE"/>
    <w:rsid w:val="008A3595"/>
    <w:rsid w:val="008A74CC"/>
    <w:rsid w:val="008B09D1"/>
    <w:rsid w:val="008B1ED4"/>
    <w:rsid w:val="008B2D68"/>
    <w:rsid w:val="008B56E8"/>
    <w:rsid w:val="008C0D6B"/>
    <w:rsid w:val="008C5CD8"/>
    <w:rsid w:val="008D0606"/>
    <w:rsid w:val="008D76E3"/>
    <w:rsid w:val="008E00CC"/>
    <w:rsid w:val="008E0365"/>
    <w:rsid w:val="008E1792"/>
    <w:rsid w:val="008E45B6"/>
    <w:rsid w:val="008E4708"/>
    <w:rsid w:val="008E4DCF"/>
    <w:rsid w:val="008E6711"/>
    <w:rsid w:val="008E683B"/>
    <w:rsid w:val="008E6E05"/>
    <w:rsid w:val="008F1435"/>
    <w:rsid w:val="008F160F"/>
    <w:rsid w:val="008F60A6"/>
    <w:rsid w:val="00905B1F"/>
    <w:rsid w:val="00907F91"/>
    <w:rsid w:val="00912A6D"/>
    <w:rsid w:val="009138C1"/>
    <w:rsid w:val="009256BB"/>
    <w:rsid w:val="00926A91"/>
    <w:rsid w:val="00926ACB"/>
    <w:rsid w:val="00940D7E"/>
    <w:rsid w:val="00941479"/>
    <w:rsid w:val="00942019"/>
    <w:rsid w:val="00943AE8"/>
    <w:rsid w:val="009444E6"/>
    <w:rsid w:val="009527C5"/>
    <w:rsid w:val="00953D79"/>
    <w:rsid w:val="009575D9"/>
    <w:rsid w:val="00962029"/>
    <w:rsid w:val="00962B08"/>
    <w:rsid w:val="009630B1"/>
    <w:rsid w:val="00975609"/>
    <w:rsid w:val="0098397D"/>
    <w:rsid w:val="009908A1"/>
    <w:rsid w:val="00993050"/>
    <w:rsid w:val="0099509D"/>
    <w:rsid w:val="00996966"/>
    <w:rsid w:val="009A50E6"/>
    <w:rsid w:val="009B080E"/>
    <w:rsid w:val="009B2CFB"/>
    <w:rsid w:val="009C0C4E"/>
    <w:rsid w:val="009C2A58"/>
    <w:rsid w:val="009C6EDA"/>
    <w:rsid w:val="009D06F6"/>
    <w:rsid w:val="009D07F7"/>
    <w:rsid w:val="009D3382"/>
    <w:rsid w:val="009D55E6"/>
    <w:rsid w:val="009D5628"/>
    <w:rsid w:val="009E0818"/>
    <w:rsid w:val="009E0F4A"/>
    <w:rsid w:val="009E24E2"/>
    <w:rsid w:val="009E7C70"/>
    <w:rsid w:val="009F2908"/>
    <w:rsid w:val="009F5E53"/>
    <w:rsid w:val="009F71DA"/>
    <w:rsid w:val="009F7861"/>
    <w:rsid w:val="00A00C59"/>
    <w:rsid w:val="00A04E5F"/>
    <w:rsid w:val="00A06F51"/>
    <w:rsid w:val="00A11C99"/>
    <w:rsid w:val="00A2519A"/>
    <w:rsid w:val="00A31271"/>
    <w:rsid w:val="00A32CD5"/>
    <w:rsid w:val="00A32CF0"/>
    <w:rsid w:val="00A369DC"/>
    <w:rsid w:val="00A41300"/>
    <w:rsid w:val="00A4217D"/>
    <w:rsid w:val="00A454FD"/>
    <w:rsid w:val="00A47F7A"/>
    <w:rsid w:val="00A5321F"/>
    <w:rsid w:val="00A55B8C"/>
    <w:rsid w:val="00A55FAA"/>
    <w:rsid w:val="00A63672"/>
    <w:rsid w:val="00A64388"/>
    <w:rsid w:val="00A73E3C"/>
    <w:rsid w:val="00A778A0"/>
    <w:rsid w:val="00A82448"/>
    <w:rsid w:val="00A867D0"/>
    <w:rsid w:val="00AA0484"/>
    <w:rsid w:val="00AA0F8E"/>
    <w:rsid w:val="00AA5BFF"/>
    <w:rsid w:val="00AA5D46"/>
    <w:rsid w:val="00AB367A"/>
    <w:rsid w:val="00AB3BC0"/>
    <w:rsid w:val="00AC10D4"/>
    <w:rsid w:val="00AC3C11"/>
    <w:rsid w:val="00AC43A9"/>
    <w:rsid w:val="00AD6BF1"/>
    <w:rsid w:val="00AD6D6F"/>
    <w:rsid w:val="00AE48CB"/>
    <w:rsid w:val="00AE61DB"/>
    <w:rsid w:val="00AE745E"/>
    <w:rsid w:val="00AE78E2"/>
    <w:rsid w:val="00AF19D7"/>
    <w:rsid w:val="00B00F9F"/>
    <w:rsid w:val="00B04491"/>
    <w:rsid w:val="00B0451B"/>
    <w:rsid w:val="00B04823"/>
    <w:rsid w:val="00B064C0"/>
    <w:rsid w:val="00B067AC"/>
    <w:rsid w:val="00B1302F"/>
    <w:rsid w:val="00B13088"/>
    <w:rsid w:val="00B13597"/>
    <w:rsid w:val="00B20B54"/>
    <w:rsid w:val="00B22E3E"/>
    <w:rsid w:val="00B23718"/>
    <w:rsid w:val="00B24516"/>
    <w:rsid w:val="00B32D12"/>
    <w:rsid w:val="00B3691D"/>
    <w:rsid w:val="00B407AC"/>
    <w:rsid w:val="00B4093F"/>
    <w:rsid w:val="00B4530B"/>
    <w:rsid w:val="00B51B09"/>
    <w:rsid w:val="00B542D3"/>
    <w:rsid w:val="00B5489B"/>
    <w:rsid w:val="00B56FCC"/>
    <w:rsid w:val="00B63229"/>
    <w:rsid w:val="00B638F3"/>
    <w:rsid w:val="00B64DC4"/>
    <w:rsid w:val="00B6547A"/>
    <w:rsid w:val="00B65C35"/>
    <w:rsid w:val="00B70700"/>
    <w:rsid w:val="00B739BA"/>
    <w:rsid w:val="00B80C49"/>
    <w:rsid w:val="00B81A05"/>
    <w:rsid w:val="00B8238B"/>
    <w:rsid w:val="00B96C98"/>
    <w:rsid w:val="00BA06D2"/>
    <w:rsid w:val="00BB13FD"/>
    <w:rsid w:val="00BB3F07"/>
    <w:rsid w:val="00BB47F9"/>
    <w:rsid w:val="00BB58EA"/>
    <w:rsid w:val="00BB7ED3"/>
    <w:rsid w:val="00BC15F3"/>
    <w:rsid w:val="00BC3BF3"/>
    <w:rsid w:val="00BC495F"/>
    <w:rsid w:val="00BC4DBC"/>
    <w:rsid w:val="00BD2966"/>
    <w:rsid w:val="00BE2C84"/>
    <w:rsid w:val="00BE5111"/>
    <w:rsid w:val="00C0534A"/>
    <w:rsid w:val="00C05B19"/>
    <w:rsid w:val="00C068E7"/>
    <w:rsid w:val="00C106D8"/>
    <w:rsid w:val="00C178E5"/>
    <w:rsid w:val="00C250C3"/>
    <w:rsid w:val="00C3440E"/>
    <w:rsid w:val="00C41690"/>
    <w:rsid w:val="00C420E0"/>
    <w:rsid w:val="00C4419F"/>
    <w:rsid w:val="00C46FA2"/>
    <w:rsid w:val="00C46FB0"/>
    <w:rsid w:val="00C51640"/>
    <w:rsid w:val="00C5779B"/>
    <w:rsid w:val="00C60648"/>
    <w:rsid w:val="00C6249A"/>
    <w:rsid w:val="00C67F88"/>
    <w:rsid w:val="00C7060C"/>
    <w:rsid w:val="00C717F1"/>
    <w:rsid w:val="00C718B8"/>
    <w:rsid w:val="00C745DA"/>
    <w:rsid w:val="00C7512B"/>
    <w:rsid w:val="00C76F5F"/>
    <w:rsid w:val="00C77A18"/>
    <w:rsid w:val="00C846DB"/>
    <w:rsid w:val="00C84E92"/>
    <w:rsid w:val="00C867C3"/>
    <w:rsid w:val="00C93977"/>
    <w:rsid w:val="00C97B0D"/>
    <w:rsid w:val="00CA7935"/>
    <w:rsid w:val="00CB3C28"/>
    <w:rsid w:val="00CB7144"/>
    <w:rsid w:val="00CC181F"/>
    <w:rsid w:val="00CC7293"/>
    <w:rsid w:val="00CD0B48"/>
    <w:rsid w:val="00CD4368"/>
    <w:rsid w:val="00CD4C6C"/>
    <w:rsid w:val="00CD695B"/>
    <w:rsid w:val="00CE00FA"/>
    <w:rsid w:val="00CE09AD"/>
    <w:rsid w:val="00CE2677"/>
    <w:rsid w:val="00CE47CB"/>
    <w:rsid w:val="00CF10C3"/>
    <w:rsid w:val="00D027BF"/>
    <w:rsid w:val="00D02A9C"/>
    <w:rsid w:val="00D03112"/>
    <w:rsid w:val="00D072FB"/>
    <w:rsid w:val="00D12AAB"/>
    <w:rsid w:val="00D15E6A"/>
    <w:rsid w:val="00D22CDD"/>
    <w:rsid w:val="00D235F5"/>
    <w:rsid w:val="00D236BD"/>
    <w:rsid w:val="00D24F87"/>
    <w:rsid w:val="00D26537"/>
    <w:rsid w:val="00D31AF1"/>
    <w:rsid w:val="00D33174"/>
    <w:rsid w:val="00D400C4"/>
    <w:rsid w:val="00D441ED"/>
    <w:rsid w:val="00D46350"/>
    <w:rsid w:val="00D4699C"/>
    <w:rsid w:val="00D52E69"/>
    <w:rsid w:val="00D55322"/>
    <w:rsid w:val="00D603CB"/>
    <w:rsid w:val="00D65495"/>
    <w:rsid w:val="00D678F6"/>
    <w:rsid w:val="00D67F87"/>
    <w:rsid w:val="00D71656"/>
    <w:rsid w:val="00D73C20"/>
    <w:rsid w:val="00D76D96"/>
    <w:rsid w:val="00D77ED0"/>
    <w:rsid w:val="00D8407D"/>
    <w:rsid w:val="00D8575B"/>
    <w:rsid w:val="00D85BEE"/>
    <w:rsid w:val="00D876E8"/>
    <w:rsid w:val="00D916D0"/>
    <w:rsid w:val="00D9215D"/>
    <w:rsid w:val="00D96F0B"/>
    <w:rsid w:val="00DA2C2F"/>
    <w:rsid w:val="00DA4B6E"/>
    <w:rsid w:val="00DA6507"/>
    <w:rsid w:val="00DA7A97"/>
    <w:rsid w:val="00DB0636"/>
    <w:rsid w:val="00DB60BA"/>
    <w:rsid w:val="00DB7FA1"/>
    <w:rsid w:val="00DC23C8"/>
    <w:rsid w:val="00DC416B"/>
    <w:rsid w:val="00DC59F3"/>
    <w:rsid w:val="00DC7ECB"/>
    <w:rsid w:val="00DD0ECD"/>
    <w:rsid w:val="00DD53B5"/>
    <w:rsid w:val="00DD7CEE"/>
    <w:rsid w:val="00DE5D97"/>
    <w:rsid w:val="00DE6E42"/>
    <w:rsid w:val="00DE7B88"/>
    <w:rsid w:val="00DF2A7E"/>
    <w:rsid w:val="00DF38D4"/>
    <w:rsid w:val="00DF6CC4"/>
    <w:rsid w:val="00DF769A"/>
    <w:rsid w:val="00E02AD7"/>
    <w:rsid w:val="00E058D0"/>
    <w:rsid w:val="00E07219"/>
    <w:rsid w:val="00E1221C"/>
    <w:rsid w:val="00E16523"/>
    <w:rsid w:val="00E20C38"/>
    <w:rsid w:val="00E2202D"/>
    <w:rsid w:val="00E2218B"/>
    <w:rsid w:val="00E26939"/>
    <w:rsid w:val="00E26E41"/>
    <w:rsid w:val="00E2731F"/>
    <w:rsid w:val="00E33C79"/>
    <w:rsid w:val="00E3564B"/>
    <w:rsid w:val="00E3717D"/>
    <w:rsid w:val="00E43504"/>
    <w:rsid w:val="00E55AFC"/>
    <w:rsid w:val="00E5671B"/>
    <w:rsid w:val="00E5742C"/>
    <w:rsid w:val="00E61AC6"/>
    <w:rsid w:val="00E63E50"/>
    <w:rsid w:val="00E668E8"/>
    <w:rsid w:val="00E67235"/>
    <w:rsid w:val="00E727F6"/>
    <w:rsid w:val="00E7548C"/>
    <w:rsid w:val="00E75CD4"/>
    <w:rsid w:val="00E76553"/>
    <w:rsid w:val="00E8149A"/>
    <w:rsid w:val="00E818A7"/>
    <w:rsid w:val="00E873FD"/>
    <w:rsid w:val="00E87948"/>
    <w:rsid w:val="00E92A12"/>
    <w:rsid w:val="00E94534"/>
    <w:rsid w:val="00EA4215"/>
    <w:rsid w:val="00EA49AD"/>
    <w:rsid w:val="00EA69BB"/>
    <w:rsid w:val="00EC71DE"/>
    <w:rsid w:val="00ED1176"/>
    <w:rsid w:val="00ED3021"/>
    <w:rsid w:val="00ED3822"/>
    <w:rsid w:val="00EE0885"/>
    <w:rsid w:val="00EE27E5"/>
    <w:rsid w:val="00EE738E"/>
    <w:rsid w:val="00EE7EAE"/>
    <w:rsid w:val="00EF0C57"/>
    <w:rsid w:val="00F00B01"/>
    <w:rsid w:val="00F0622C"/>
    <w:rsid w:val="00F07D8E"/>
    <w:rsid w:val="00F11343"/>
    <w:rsid w:val="00F12230"/>
    <w:rsid w:val="00F13A04"/>
    <w:rsid w:val="00F14FBD"/>
    <w:rsid w:val="00F15757"/>
    <w:rsid w:val="00F15F7E"/>
    <w:rsid w:val="00F16118"/>
    <w:rsid w:val="00F2492B"/>
    <w:rsid w:val="00F27F61"/>
    <w:rsid w:val="00F30B3D"/>
    <w:rsid w:val="00F3168F"/>
    <w:rsid w:val="00F316EF"/>
    <w:rsid w:val="00F34569"/>
    <w:rsid w:val="00F35D0C"/>
    <w:rsid w:val="00F36160"/>
    <w:rsid w:val="00F36185"/>
    <w:rsid w:val="00F45949"/>
    <w:rsid w:val="00F465E2"/>
    <w:rsid w:val="00F47CAA"/>
    <w:rsid w:val="00F5329A"/>
    <w:rsid w:val="00F546B2"/>
    <w:rsid w:val="00F548AD"/>
    <w:rsid w:val="00F55B38"/>
    <w:rsid w:val="00F64DB2"/>
    <w:rsid w:val="00F67A1B"/>
    <w:rsid w:val="00F70DA0"/>
    <w:rsid w:val="00F74C7C"/>
    <w:rsid w:val="00F7608A"/>
    <w:rsid w:val="00F8213F"/>
    <w:rsid w:val="00F86895"/>
    <w:rsid w:val="00F91CFB"/>
    <w:rsid w:val="00F91E04"/>
    <w:rsid w:val="00F92778"/>
    <w:rsid w:val="00F92847"/>
    <w:rsid w:val="00F92D34"/>
    <w:rsid w:val="00FA0DD2"/>
    <w:rsid w:val="00FA4E29"/>
    <w:rsid w:val="00FA60BE"/>
    <w:rsid w:val="00FB438F"/>
    <w:rsid w:val="00FB61B8"/>
    <w:rsid w:val="00FB6833"/>
    <w:rsid w:val="00FC1755"/>
    <w:rsid w:val="00FC1E11"/>
    <w:rsid w:val="00FC38F7"/>
    <w:rsid w:val="00FD0D55"/>
    <w:rsid w:val="00FD0F80"/>
    <w:rsid w:val="00FD1A15"/>
    <w:rsid w:val="00FD36F2"/>
    <w:rsid w:val="00FD511B"/>
    <w:rsid w:val="00FD6B22"/>
    <w:rsid w:val="00FD759C"/>
    <w:rsid w:val="00FE0929"/>
    <w:rsid w:val="00FE23AB"/>
    <w:rsid w:val="00FE58BE"/>
    <w:rsid w:val="00FF11FB"/>
    <w:rsid w:val="00FF381D"/>
    <w:rsid w:val="00FF39B1"/>
    <w:rsid w:val="00FF6D5F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5B5EE-E5BD-414D-996C-651B1890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0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234CC"/>
    <w:rPr>
      <w:kern w:val="0"/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0234C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B3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0B3E7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B3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0B3E77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196A07"/>
    <w:rPr>
      <w:color w:val="0000FF"/>
      <w:u w:val="single"/>
    </w:rPr>
  </w:style>
  <w:style w:type="character" w:customStyle="1" w:styleId="apple-converted-space">
    <w:name w:val="apple-converted-space"/>
    <w:rsid w:val="0019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TI\CPSI%202014\2014.03.23\&#20013;&#22269;&#28207;&#33322;&#32929;&#25351;&#21608;&#25253;&#65288;3.17&#8212;3.23&#652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TI\CPSI%202014\2014.03.23\&#20013;&#22269;&#28207;&#33322;&#32929;&#25351;&#21608;&#25253;&#65288;3.17&#8212;3.23&#6528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TI\CPSI%202014\2014.03.23\&#20013;&#22269;&#28207;&#33322;&#32929;&#25351;&#21608;&#25253;&#65288;3.17&#8212;3.23&#6528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WTI\CPSI%202014\2014.03.23\&#20013;&#22269;&#28207;&#33322;&#32929;&#25351;&#21608;&#25253;&#65288;3.17&#8212;3.23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2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图1-1 CPSI（2.</a:t>
            </a:r>
            <a:r>
              <a:rPr lang="en-US" altLang="zh-CN" sz="12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24</a:t>
            </a:r>
            <a:r>
              <a:rPr lang="zh-CN" altLang="en-US" sz="12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—3.</a:t>
            </a:r>
            <a:r>
              <a:rPr lang="en-US" altLang="zh-CN" sz="12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21</a:t>
            </a:r>
            <a:r>
              <a:rPr lang="zh-CN" altLang="en-US" sz="12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）</a:t>
            </a:r>
          </a:p>
        </c:rich>
      </c:tx>
      <c:layout>
        <c:manualLayout>
          <c:xMode val="edge"/>
          <c:yMode val="edge"/>
          <c:x val="0.31419482672000526"/>
          <c:y val="4.18080361905981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06823636183381"/>
          <c:y val="0.2249326213766312"/>
          <c:w val="0.77459918704051578"/>
          <c:h val="0.6802179272955956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当期100点!$A$2:$A$21</c:f>
              <c:numCache>
                <c:formatCode>m/d/yyyy</c:formatCode>
                <c:ptCount val="20"/>
                <c:pt idx="0">
                  <c:v>41719</c:v>
                </c:pt>
                <c:pt idx="1">
                  <c:v>41718</c:v>
                </c:pt>
                <c:pt idx="2">
                  <c:v>41717</c:v>
                </c:pt>
                <c:pt idx="3">
                  <c:v>41716</c:v>
                </c:pt>
                <c:pt idx="4">
                  <c:v>41715</c:v>
                </c:pt>
                <c:pt idx="5">
                  <c:v>41712</c:v>
                </c:pt>
                <c:pt idx="6">
                  <c:v>41711</c:v>
                </c:pt>
                <c:pt idx="7">
                  <c:v>41710</c:v>
                </c:pt>
                <c:pt idx="8">
                  <c:v>41709</c:v>
                </c:pt>
                <c:pt idx="9">
                  <c:v>41708</c:v>
                </c:pt>
                <c:pt idx="10">
                  <c:v>41705</c:v>
                </c:pt>
                <c:pt idx="11">
                  <c:v>41704</c:v>
                </c:pt>
                <c:pt idx="12">
                  <c:v>41703</c:v>
                </c:pt>
                <c:pt idx="13">
                  <c:v>41702</c:v>
                </c:pt>
                <c:pt idx="14">
                  <c:v>41701</c:v>
                </c:pt>
                <c:pt idx="15">
                  <c:v>41698</c:v>
                </c:pt>
                <c:pt idx="16">
                  <c:v>41697</c:v>
                </c:pt>
                <c:pt idx="17">
                  <c:v>41696</c:v>
                </c:pt>
                <c:pt idx="18">
                  <c:v>41695</c:v>
                </c:pt>
                <c:pt idx="19">
                  <c:v>41694</c:v>
                </c:pt>
              </c:numCache>
            </c:numRef>
          </c:cat>
          <c:val>
            <c:numRef>
              <c:f>当期100点!$B$2:$B$21</c:f>
              <c:numCache>
                <c:formatCode>0.0_);[Red]\(0.0\)</c:formatCode>
                <c:ptCount val="20"/>
                <c:pt idx="0">
                  <c:v>48.852172464041089</c:v>
                </c:pt>
                <c:pt idx="1">
                  <c:v>47.918673149663135</c:v>
                </c:pt>
                <c:pt idx="2">
                  <c:v>48.779202572397146</c:v>
                </c:pt>
                <c:pt idx="3">
                  <c:v>47.994946629418919</c:v>
                </c:pt>
                <c:pt idx="4">
                  <c:v>47.675333833979458</c:v>
                </c:pt>
                <c:pt idx="5">
                  <c:v>47.367506289582131</c:v>
                </c:pt>
                <c:pt idx="6">
                  <c:v>47.89989773516163</c:v>
                </c:pt>
                <c:pt idx="7">
                  <c:v>47.415696686928591</c:v>
                </c:pt>
                <c:pt idx="8">
                  <c:v>48.1665947883412</c:v>
                </c:pt>
                <c:pt idx="9">
                  <c:v>48.556185402573909</c:v>
                </c:pt>
                <c:pt idx="10">
                  <c:v>50.541658640737872</c:v>
                </c:pt>
                <c:pt idx="11">
                  <c:v>50.810518280669839</c:v>
                </c:pt>
                <c:pt idx="12">
                  <c:v>50.447946903130635</c:v>
                </c:pt>
                <c:pt idx="13">
                  <c:v>51.107384607772218</c:v>
                </c:pt>
                <c:pt idx="14">
                  <c:v>51.096075747087376</c:v>
                </c:pt>
                <c:pt idx="15">
                  <c:v>50.312656489310449</c:v>
                </c:pt>
                <c:pt idx="16">
                  <c:v>49.936304041613361</c:v>
                </c:pt>
                <c:pt idx="17">
                  <c:v>50.269571476974761</c:v>
                </c:pt>
                <c:pt idx="18">
                  <c:v>50.579747851563482</c:v>
                </c:pt>
                <c:pt idx="19">
                  <c:v>51.754398451839343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2669336"/>
        <c:axId val="412667768"/>
      </c:lineChart>
      <c:dateAx>
        <c:axId val="412669336"/>
        <c:scaling>
          <c:orientation val="minMax"/>
        </c:scaling>
        <c:delete val="0"/>
        <c:axPos val="b"/>
        <c:numFmt formatCode="m/d;@" sourceLinked="0"/>
        <c:majorTickMark val="in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12667768"/>
        <c:crosses val="autoZero"/>
        <c:auto val="1"/>
        <c:lblOffset val="100"/>
        <c:baseTimeUnit val="days"/>
        <c:majorUnit val="7"/>
        <c:majorTimeUnit val="days"/>
        <c:minorUnit val="1"/>
        <c:minorTimeUnit val="days"/>
      </c:dateAx>
      <c:valAx>
        <c:axId val="412667768"/>
        <c:scaling>
          <c:orientation val="minMax"/>
          <c:max val="65"/>
          <c:min val="40"/>
        </c:scaling>
        <c:delete val="0"/>
        <c:axPos val="l"/>
        <c:numFmt formatCode="0_ " sourceLinked="0"/>
        <c:majorTickMark val="in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12669336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175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图1-2 CPSI相对值对比图（2.</a:t>
            </a:r>
            <a:r>
              <a:rPr lang="en-US" altLang="zh-CN" sz="1175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24</a:t>
            </a:r>
            <a:r>
              <a:rPr lang="zh-CN" altLang="en-US" sz="1175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—3.</a:t>
            </a:r>
            <a:r>
              <a:rPr lang="en-US" altLang="zh-CN" sz="1175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21</a:t>
            </a:r>
            <a:r>
              <a:rPr lang="zh-CN" altLang="en-US" sz="1175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）</a:t>
            </a:r>
          </a:p>
        </c:rich>
      </c:tx>
      <c:layout>
        <c:manualLayout>
          <c:xMode val="edge"/>
          <c:yMode val="edge"/>
          <c:x val="0.21322395751855525"/>
          <c:y val="4.3231262758821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810176252802837"/>
          <c:y val="0.21728395061728395"/>
          <c:w val="0.77926946631671035"/>
          <c:h val="0.61464786523198545"/>
        </c:manualLayout>
      </c:layout>
      <c:lineChart>
        <c:grouping val="standard"/>
        <c:varyColors val="0"/>
        <c:ser>
          <c:idx val="0"/>
          <c:order val="0"/>
          <c:tx>
            <c:strRef>
              <c:f>当期100点!$F$1</c:f>
              <c:strCache>
                <c:ptCount val="1"/>
                <c:pt idx="0">
                  <c:v>CPSI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当期100点!$A$2:$A$21</c:f>
              <c:numCache>
                <c:formatCode>m/d/yyyy</c:formatCode>
                <c:ptCount val="20"/>
                <c:pt idx="0">
                  <c:v>41719</c:v>
                </c:pt>
                <c:pt idx="1">
                  <c:v>41718</c:v>
                </c:pt>
                <c:pt idx="2">
                  <c:v>41717</c:v>
                </c:pt>
                <c:pt idx="3">
                  <c:v>41716</c:v>
                </c:pt>
                <c:pt idx="4">
                  <c:v>41715</c:v>
                </c:pt>
                <c:pt idx="5">
                  <c:v>41712</c:v>
                </c:pt>
                <c:pt idx="6">
                  <c:v>41711</c:v>
                </c:pt>
                <c:pt idx="7">
                  <c:v>41710</c:v>
                </c:pt>
                <c:pt idx="8">
                  <c:v>41709</c:v>
                </c:pt>
                <c:pt idx="9">
                  <c:v>41708</c:v>
                </c:pt>
                <c:pt idx="10">
                  <c:v>41705</c:v>
                </c:pt>
                <c:pt idx="11">
                  <c:v>41704</c:v>
                </c:pt>
                <c:pt idx="12">
                  <c:v>41703</c:v>
                </c:pt>
                <c:pt idx="13">
                  <c:v>41702</c:v>
                </c:pt>
                <c:pt idx="14">
                  <c:v>41701</c:v>
                </c:pt>
                <c:pt idx="15">
                  <c:v>41698</c:v>
                </c:pt>
                <c:pt idx="16">
                  <c:v>41697</c:v>
                </c:pt>
                <c:pt idx="17">
                  <c:v>41696</c:v>
                </c:pt>
                <c:pt idx="18">
                  <c:v>41695</c:v>
                </c:pt>
                <c:pt idx="19">
                  <c:v>41694</c:v>
                </c:pt>
              </c:numCache>
            </c:numRef>
          </c:cat>
          <c:val>
            <c:numRef>
              <c:f>当期100点!$F$2:$F$21</c:f>
              <c:numCache>
                <c:formatCode>0.0_);[Red]\(0.0\)</c:formatCode>
                <c:ptCount val="20"/>
                <c:pt idx="0">
                  <c:v>94.392310461305129</c:v>
                </c:pt>
                <c:pt idx="1">
                  <c:v>92.588600356845831</c:v>
                </c:pt>
                <c:pt idx="2">
                  <c:v>94.251317823332826</c:v>
                </c:pt>
                <c:pt idx="3">
                  <c:v>92.735976197426339</c:v>
                </c:pt>
                <c:pt idx="4">
                  <c:v>92.118419419644681</c:v>
                </c:pt>
                <c:pt idx="5">
                  <c:v>91.523634138382491</c:v>
                </c:pt>
                <c:pt idx="6">
                  <c:v>92.552322446053424</c:v>
                </c:pt>
                <c:pt idx="7">
                  <c:v>91.616747765026815</c:v>
                </c:pt>
                <c:pt idx="8">
                  <c:v>93.06763527193381</c:v>
                </c:pt>
                <c:pt idx="9">
                  <c:v>93.820403395777916</c:v>
                </c:pt>
                <c:pt idx="10">
                  <c:v>97.656740591372142</c:v>
                </c:pt>
                <c:pt idx="11">
                  <c:v>98.176231973698151</c:v>
                </c:pt>
                <c:pt idx="12">
                  <c:v>97.475670497987835</c:v>
                </c:pt>
                <c:pt idx="13">
                  <c:v>98.749837958856361</c:v>
                </c:pt>
                <c:pt idx="14">
                  <c:v>98.72798694517806</c:v>
                </c:pt>
                <c:pt idx="15">
                  <c:v>97.214261964863667</c:v>
                </c:pt>
                <c:pt idx="16">
                  <c:v>96.487072665103369</c:v>
                </c:pt>
                <c:pt idx="17">
                  <c:v>97.131012978063481</c:v>
                </c:pt>
                <c:pt idx="18">
                  <c:v>97.730336675888623</c:v>
                </c:pt>
                <c:pt idx="19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当期100点!$H$1</c:f>
              <c:strCache>
                <c:ptCount val="1"/>
                <c:pt idx="0">
                  <c:v>沪深300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numRef>
              <c:f>当期100点!$A$2:$A$21</c:f>
              <c:numCache>
                <c:formatCode>m/d/yyyy</c:formatCode>
                <c:ptCount val="20"/>
                <c:pt idx="0">
                  <c:v>41719</c:v>
                </c:pt>
                <c:pt idx="1">
                  <c:v>41718</c:v>
                </c:pt>
                <c:pt idx="2">
                  <c:v>41717</c:v>
                </c:pt>
                <c:pt idx="3">
                  <c:v>41716</c:v>
                </c:pt>
                <c:pt idx="4">
                  <c:v>41715</c:v>
                </c:pt>
                <c:pt idx="5">
                  <c:v>41712</c:v>
                </c:pt>
                <c:pt idx="6">
                  <c:v>41711</c:v>
                </c:pt>
                <c:pt idx="7">
                  <c:v>41710</c:v>
                </c:pt>
                <c:pt idx="8">
                  <c:v>41709</c:v>
                </c:pt>
                <c:pt idx="9">
                  <c:v>41708</c:v>
                </c:pt>
                <c:pt idx="10">
                  <c:v>41705</c:v>
                </c:pt>
                <c:pt idx="11">
                  <c:v>41704</c:v>
                </c:pt>
                <c:pt idx="12">
                  <c:v>41703</c:v>
                </c:pt>
                <c:pt idx="13">
                  <c:v>41702</c:v>
                </c:pt>
                <c:pt idx="14">
                  <c:v>41701</c:v>
                </c:pt>
                <c:pt idx="15">
                  <c:v>41698</c:v>
                </c:pt>
                <c:pt idx="16">
                  <c:v>41697</c:v>
                </c:pt>
                <c:pt idx="17">
                  <c:v>41696</c:v>
                </c:pt>
                <c:pt idx="18">
                  <c:v>41695</c:v>
                </c:pt>
                <c:pt idx="19">
                  <c:v>41694</c:v>
                </c:pt>
              </c:numCache>
            </c:numRef>
          </c:cat>
          <c:val>
            <c:numRef>
              <c:f>当期100点!$H$2:$H$21</c:f>
              <c:numCache>
                <c:formatCode>0.0_);[Red]\(0.0\)</c:formatCode>
                <c:ptCount val="20"/>
                <c:pt idx="0">
                  <c:v>97.484273037499477</c:v>
                </c:pt>
                <c:pt idx="1">
                  <c:v>94.240619478177777</c:v>
                </c:pt>
                <c:pt idx="2">
                  <c:v>95.771568325077908</c:v>
                </c:pt>
                <c:pt idx="3">
                  <c:v>96.551109072033569</c:v>
                </c:pt>
                <c:pt idx="4">
                  <c:v>96.772602865917449</c:v>
                </c:pt>
                <c:pt idx="5">
                  <c:v>95.860346469578573</c:v>
                </c:pt>
                <c:pt idx="6">
                  <c:v>96.650453892939694</c:v>
                </c:pt>
                <c:pt idx="7">
                  <c:v>95.467392546158095</c:v>
                </c:pt>
                <c:pt idx="8">
                  <c:v>95.220249725785706</c:v>
                </c:pt>
                <c:pt idx="9">
                  <c:v>94.729215370088795</c:v>
                </c:pt>
                <c:pt idx="10">
                  <c:v>97.915971441073395</c:v>
                </c:pt>
                <c:pt idx="11">
                  <c:v>98.154218384301004</c:v>
                </c:pt>
                <c:pt idx="12">
                  <c:v>97.71809462052309</c:v>
                </c:pt>
                <c:pt idx="13">
                  <c:v>98.634640906855651</c:v>
                </c:pt>
                <c:pt idx="14">
                  <c:v>98.909961530975934</c:v>
                </c:pt>
                <c:pt idx="15">
                  <c:v>98.395219888471885</c:v>
                </c:pt>
                <c:pt idx="16">
                  <c:v>97.272487942022366</c:v>
                </c:pt>
                <c:pt idx="17">
                  <c:v>97.692310123824285</c:v>
                </c:pt>
                <c:pt idx="18">
                  <c:v>97.444128698506077</c:v>
                </c:pt>
                <c:pt idx="19">
                  <c:v>100.00000000000001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4487512"/>
        <c:axId val="724488296"/>
      </c:lineChart>
      <c:dateAx>
        <c:axId val="724487512"/>
        <c:scaling>
          <c:orientation val="minMax"/>
        </c:scaling>
        <c:delete val="0"/>
        <c:axPos val="b"/>
        <c:numFmt formatCode="m/d;@" sourceLinked="0"/>
        <c:majorTickMark val="in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724488296"/>
        <c:crosses val="autoZero"/>
        <c:auto val="1"/>
        <c:lblOffset val="100"/>
        <c:baseTimeUnit val="days"/>
        <c:majorUnit val="7"/>
        <c:majorTimeUnit val="days"/>
        <c:minorUnit val="1"/>
        <c:minorTimeUnit val="days"/>
      </c:dateAx>
      <c:valAx>
        <c:axId val="724488296"/>
        <c:scaling>
          <c:orientation val="minMax"/>
        </c:scaling>
        <c:delete val="0"/>
        <c:axPos val="l"/>
        <c:numFmt formatCode="0_);[Red]\(0\)" sourceLinked="0"/>
        <c:majorTickMark val="in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724487512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6534273840769904"/>
          <c:y val="0.90821313172506823"/>
          <c:w val="0.33609336705428378"/>
          <c:h val="7.160493827160496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2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图2-1 CSSI（2.</a:t>
            </a:r>
            <a:r>
              <a:rPr lang="en-US" altLang="zh-CN" sz="12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24</a:t>
            </a:r>
            <a:r>
              <a:rPr lang="zh-CN" altLang="en-US" sz="12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—3.</a:t>
            </a:r>
            <a:r>
              <a:rPr lang="en-US" altLang="zh-CN" sz="12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21</a:t>
            </a:r>
            <a:r>
              <a:rPr lang="zh-CN" altLang="en-US" sz="12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）</a:t>
            </a:r>
          </a:p>
        </c:rich>
      </c:tx>
      <c:layout>
        <c:manualLayout>
          <c:xMode val="edge"/>
          <c:yMode val="edge"/>
          <c:x val="0.29195861386891858"/>
          <c:y val="2.886070927180614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500030407081159"/>
          <c:y val="0.19710158875508713"/>
          <c:w val="0.81521937437485814"/>
          <c:h val="0.69275411341861515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accent6"/>
              </a:solidFill>
              <a:prstDash val="solid"/>
            </a:ln>
          </c:spPr>
          <c:marker>
            <c:symbol val="none"/>
          </c:marker>
          <c:cat>
            <c:numRef>
              <c:f>当期100点!$A$2:$A$21</c:f>
              <c:numCache>
                <c:formatCode>m/d/yyyy</c:formatCode>
                <c:ptCount val="20"/>
                <c:pt idx="0">
                  <c:v>41719</c:v>
                </c:pt>
                <c:pt idx="1">
                  <c:v>41718</c:v>
                </c:pt>
                <c:pt idx="2">
                  <c:v>41717</c:v>
                </c:pt>
                <c:pt idx="3">
                  <c:v>41716</c:v>
                </c:pt>
                <c:pt idx="4">
                  <c:v>41715</c:v>
                </c:pt>
                <c:pt idx="5">
                  <c:v>41712</c:v>
                </c:pt>
                <c:pt idx="6">
                  <c:v>41711</c:v>
                </c:pt>
                <c:pt idx="7">
                  <c:v>41710</c:v>
                </c:pt>
                <c:pt idx="8">
                  <c:v>41709</c:v>
                </c:pt>
                <c:pt idx="9">
                  <c:v>41708</c:v>
                </c:pt>
                <c:pt idx="10">
                  <c:v>41705</c:v>
                </c:pt>
                <c:pt idx="11">
                  <c:v>41704</c:v>
                </c:pt>
                <c:pt idx="12">
                  <c:v>41703</c:v>
                </c:pt>
                <c:pt idx="13">
                  <c:v>41702</c:v>
                </c:pt>
                <c:pt idx="14">
                  <c:v>41701</c:v>
                </c:pt>
                <c:pt idx="15">
                  <c:v>41698</c:v>
                </c:pt>
                <c:pt idx="16">
                  <c:v>41697</c:v>
                </c:pt>
                <c:pt idx="17">
                  <c:v>41696</c:v>
                </c:pt>
                <c:pt idx="18">
                  <c:v>41695</c:v>
                </c:pt>
                <c:pt idx="19">
                  <c:v>41694</c:v>
                </c:pt>
              </c:numCache>
            </c:numRef>
          </c:cat>
          <c:val>
            <c:numRef>
              <c:f>当期100点!$C$2:$C$21</c:f>
              <c:numCache>
                <c:formatCode>0.0_);[Red]\(0.0\)</c:formatCode>
                <c:ptCount val="20"/>
                <c:pt idx="0">
                  <c:v>14.861370189989678</c:v>
                </c:pt>
                <c:pt idx="1">
                  <c:v>14.458235845947854</c:v>
                </c:pt>
                <c:pt idx="2">
                  <c:v>14.626385907923886</c:v>
                </c:pt>
                <c:pt idx="3">
                  <c:v>14.75620524824296</c:v>
                </c:pt>
                <c:pt idx="4">
                  <c:v>14.715345528329607</c:v>
                </c:pt>
                <c:pt idx="5">
                  <c:v>14.666307028951667</c:v>
                </c:pt>
                <c:pt idx="6">
                  <c:v>14.511606154380619</c:v>
                </c:pt>
                <c:pt idx="7">
                  <c:v>14.465480089343446</c:v>
                </c:pt>
                <c:pt idx="8">
                  <c:v>14.546262338349697</c:v>
                </c:pt>
                <c:pt idx="9">
                  <c:v>14.495011168999877</c:v>
                </c:pt>
                <c:pt idx="10">
                  <c:v>14.867427147572068</c:v>
                </c:pt>
                <c:pt idx="11">
                  <c:v>14.795390714546972</c:v>
                </c:pt>
                <c:pt idx="12">
                  <c:v>14.710675358585526</c:v>
                </c:pt>
                <c:pt idx="13">
                  <c:v>14.803027331381166</c:v>
                </c:pt>
                <c:pt idx="14">
                  <c:v>14.877101226740466</c:v>
                </c:pt>
                <c:pt idx="15">
                  <c:v>14.59088884862682</c:v>
                </c:pt>
                <c:pt idx="16">
                  <c:v>14.45793797498326</c:v>
                </c:pt>
                <c:pt idx="17">
                  <c:v>14.544100638317605</c:v>
                </c:pt>
                <c:pt idx="18">
                  <c:v>14.476423364294824</c:v>
                </c:pt>
                <c:pt idx="19">
                  <c:v>14.790343912910084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9457128"/>
        <c:axId val="469456344"/>
      </c:lineChart>
      <c:dateAx>
        <c:axId val="469457128"/>
        <c:scaling>
          <c:orientation val="minMax"/>
        </c:scaling>
        <c:delete val="0"/>
        <c:axPos val="b"/>
        <c:numFmt formatCode="m/d;@" sourceLinked="0"/>
        <c:majorTickMark val="in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69456344"/>
        <c:crosses val="autoZero"/>
        <c:auto val="1"/>
        <c:lblOffset val="100"/>
        <c:baseTimeUnit val="days"/>
        <c:majorUnit val="7"/>
        <c:majorTimeUnit val="days"/>
        <c:minorUnit val="1"/>
        <c:minorTimeUnit val="days"/>
      </c:dateAx>
      <c:valAx>
        <c:axId val="469456344"/>
        <c:scaling>
          <c:orientation val="minMax"/>
          <c:max val="20"/>
          <c:min val="12"/>
        </c:scaling>
        <c:delete val="0"/>
        <c:axPos val="l"/>
        <c:numFmt formatCode="0_ " sourceLinked="0"/>
        <c:majorTickMark val="in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69457128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175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图2-2 CSSI相对值对比图（2.</a:t>
            </a:r>
            <a:r>
              <a:rPr lang="en-US" altLang="zh-CN" sz="1175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24</a:t>
            </a:r>
            <a:r>
              <a:rPr lang="zh-CN" altLang="en-US" sz="1175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—3.</a:t>
            </a:r>
            <a:r>
              <a:rPr lang="en-US" altLang="zh-CN" sz="1175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21</a:t>
            </a:r>
            <a:r>
              <a:rPr lang="zh-CN" altLang="en-US" sz="1175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）</a:t>
            </a:r>
          </a:p>
        </c:rich>
      </c:tx>
      <c:layout>
        <c:manualLayout>
          <c:xMode val="edge"/>
          <c:yMode val="edge"/>
          <c:x val="0.21322392088301154"/>
          <c:y val="4.3231385550490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106155592732293"/>
          <c:y val="0.2123458070178717"/>
          <c:w val="0.82480336869410531"/>
          <c:h val="0.61054817000647388"/>
        </c:manualLayout>
      </c:layout>
      <c:lineChart>
        <c:grouping val="standard"/>
        <c:varyColors val="0"/>
        <c:ser>
          <c:idx val="0"/>
          <c:order val="0"/>
          <c:tx>
            <c:strRef>
              <c:f>当期100点!$G$1</c:f>
              <c:strCache>
                <c:ptCount val="1"/>
                <c:pt idx="0">
                  <c:v>CSSI</c:v>
                </c:pt>
              </c:strCache>
            </c:strRef>
          </c:tx>
          <c:spPr>
            <a:ln w="25400">
              <a:solidFill>
                <a:schemeClr val="accent6"/>
              </a:solidFill>
              <a:prstDash val="solid"/>
            </a:ln>
          </c:spPr>
          <c:marker>
            <c:symbol val="none"/>
          </c:marker>
          <c:cat>
            <c:numRef>
              <c:f>当期100点!$A$2:$A$21</c:f>
              <c:numCache>
                <c:formatCode>m/d/yyyy</c:formatCode>
                <c:ptCount val="20"/>
                <c:pt idx="0">
                  <c:v>41719</c:v>
                </c:pt>
                <c:pt idx="1">
                  <c:v>41718</c:v>
                </c:pt>
                <c:pt idx="2">
                  <c:v>41717</c:v>
                </c:pt>
                <c:pt idx="3">
                  <c:v>41716</c:v>
                </c:pt>
                <c:pt idx="4">
                  <c:v>41715</c:v>
                </c:pt>
                <c:pt idx="5">
                  <c:v>41712</c:v>
                </c:pt>
                <c:pt idx="6">
                  <c:v>41711</c:v>
                </c:pt>
                <c:pt idx="7">
                  <c:v>41710</c:v>
                </c:pt>
                <c:pt idx="8">
                  <c:v>41709</c:v>
                </c:pt>
                <c:pt idx="9">
                  <c:v>41708</c:v>
                </c:pt>
                <c:pt idx="10">
                  <c:v>41705</c:v>
                </c:pt>
                <c:pt idx="11">
                  <c:v>41704</c:v>
                </c:pt>
                <c:pt idx="12">
                  <c:v>41703</c:v>
                </c:pt>
                <c:pt idx="13">
                  <c:v>41702</c:v>
                </c:pt>
                <c:pt idx="14">
                  <c:v>41701</c:v>
                </c:pt>
                <c:pt idx="15">
                  <c:v>41698</c:v>
                </c:pt>
                <c:pt idx="16">
                  <c:v>41697</c:v>
                </c:pt>
                <c:pt idx="17">
                  <c:v>41696</c:v>
                </c:pt>
                <c:pt idx="18">
                  <c:v>41695</c:v>
                </c:pt>
                <c:pt idx="19">
                  <c:v>41694</c:v>
                </c:pt>
              </c:numCache>
            </c:numRef>
          </c:cat>
          <c:val>
            <c:numRef>
              <c:f>当期100点!$G$2:$G$21</c:f>
              <c:numCache>
                <c:formatCode>0.0_);[Red]\(0.0\)</c:formatCode>
                <c:ptCount val="20"/>
                <c:pt idx="0">
                  <c:v>100.48022059187953</c:v>
                </c:pt>
                <c:pt idx="1">
                  <c:v>97.754561564506005</c:v>
                </c:pt>
                <c:pt idx="2">
                  <c:v>98.891452383043756</c:v>
                </c:pt>
                <c:pt idx="3">
                  <c:v>99.769182752827504</c:v>
                </c:pt>
                <c:pt idx="4">
                  <c:v>99.4929233219857</c:v>
                </c:pt>
                <c:pt idx="5">
                  <c:v>99.161365789133896</c:v>
                </c:pt>
                <c:pt idx="6">
                  <c:v>98.115407186129318</c:v>
                </c:pt>
                <c:pt idx="7">
                  <c:v>97.803541111149741</c:v>
                </c:pt>
                <c:pt idx="8">
                  <c:v>98.349723468246509</c:v>
                </c:pt>
                <c:pt idx="9">
                  <c:v>98.003205701982225</c:v>
                </c:pt>
                <c:pt idx="10">
                  <c:v>100.52117269967401</c:v>
                </c:pt>
                <c:pt idx="11">
                  <c:v>100.0341222737389</c:v>
                </c:pt>
                <c:pt idx="12">
                  <c:v>99.461347519748912</c:v>
                </c:pt>
                <c:pt idx="13">
                  <c:v>100.08575472312047</c:v>
                </c:pt>
                <c:pt idx="14">
                  <c:v>100.58658077419454</c:v>
                </c:pt>
                <c:pt idx="15">
                  <c:v>98.651450801565446</c:v>
                </c:pt>
                <c:pt idx="16">
                  <c:v>97.752547608871524</c:v>
                </c:pt>
                <c:pt idx="17">
                  <c:v>98.335107851159975</c:v>
                </c:pt>
                <c:pt idx="18">
                  <c:v>97.877530431586194</c:v>
                </c:pt>
                <c:pt idx="19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当期100点!$H$1</c:f>
              <c:strCache>
                <c:ptCount val="1"/>
                <c:pt idx="0">
                  <c:v>沪深300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numRef>
              <c:f>当期100点!$A$2:$A$21</c:f>
              <c:numCache>
                <c:formatCode>m/d/yyyy</c:formatCode>
                <c:ptCount val="20"/>
                <c:pt idx="0">
                  <c:v>41719</c:v>
                </c:pt>
                <c:pt idx="1">
                  <c:v>41718</c:v>
                </c:pt>
                <c:pt idx="2">
                  <c:v>41717</c:v>
                </c:pt>
                <c:pt idx="3">
                  <c:v>41716</c:v>
                </c:pt>
                <c:pt idx="4">
                  <c:v>41715</c:v>
                </c:pt>
                <c:pt idx="5">
                  <c:v>41712</c:v>
                </c:pt>
                <c:pt idx="6">
                  <c:v>41711</c:v>
                </c:pt>
                <c:pt idx="7">
                  <c:v>41710</c:v>
                </c:pt>
                <c:pt idx="8">
                  <c:v>41709</c:v>
                </c:pt>
                <c:pt idx="9">
                  <c:v>41708</c:v>
                </c:pt>
                <c:pt idx="10">
                  <c:v>41705</c:v>
                </c:pt>
                <c:pt idx="11">
                  <c:v>41704</c:v>
                </c:pt>
                <c:pt idx="12">
                  <c:v>41703</c:v>
                </c:pt>
                <c:pt idx="13">
                  <c:v>41702</c:v>
                </c:pt>
                <c:pt idx="14">
                  <c:v>41701</c:v>
                </c:pt>
                <c:pt idx="15">
                  <c:v>41698</c:v>
                </c:pt>
                <c:pt idx="16">
                  <c:v>41697</c:v>
                </c:pt>
                <c:pt idx="17">
                  <c:v>41696</c:v>
                </c:pt>
                <c:pt idx="18">
                  <c:v>41695</c:v>
                </c:pt>
                <c:pt idx="19">
                  <c:v>41694</c:v>
                </c:pt>
              </c:numCache>
            </c:numRef>
          </c:cat>
          <c:val>
            <c:numRef>
              <c:f>当期100点!$H$2:$H$21</c:f>
              <c:numCache>
                <c:formatCode>0.0_);[Red]\(0.0\)</c:formatCode>
                <c:ptCount val="20"/>
                <c:pt idx="0">
                  <c:v>97.484273037499477</c:v>
                </c:pt>
                <c:pt idx="1">
                  <c:v>94.240619478177777</c:v>
                </c:pt>
                <c:pt idx="2">
                  <c:v>95.771568325077908</c:v>
                </c:pt>
                <c:pt idx="3">
                  <c:v>96.551109072033569</c:v>
                </c:pt>
                <c:pt idx="4">
                  <c:v>96.772602865917449</c:v>
                </c:pt>
                <c:pt idx="5">
                  <c:v>95.860346469578573</c:v>
                </c:pt>
                <c:pt idx="6">
                  <c:v>96.650453892939694</c:v>
                </c:pt>
                <c:pt idx="7">
                  <c:v>95.467392546158095</c:v>
                </c:pt>
                <c:pt idx="8">
                  <c:v>95.220249725785706</c:v>
                </c:pt>
                <c:pt idx="9">
                  <c:v>94.729215370088795</c:v>
                </c:pt>
                <c:pt idx="10">
                  <c:v>97.915971441073395</c:v>
                </c:pt>
                <c:pt idx="11">
                  <c:v>98.154218384301004</c:v>
                </c:pt>
                <c:pt idx="12">
                  <c:v>97.71809462052309</c:v>
                </c:pt>
                <c:pt idx="13">
                  <c:v>98.634640906855651</c:v>
                </c:pt>
                <c:pt idx="14">
                  <c:v>98.909961530975934</c:v>
                </c:pt>
                <c:pt idx="15">
                  <c:v>98.395219888471885</c:v>
                </c:pt>
                <c:pt idx="16">
                  <c:v>97.272487942022366</c:v>
                </c:pt>
                <c:pt idx="17">
                  <c:v>97.692310123824285</c:v>
                </c:pt>
                <c:pt idx="18">
                  <c:v>97.444128698506077</c:v>
                </c:pt>
                <c:pt idx="19">
                  <c:v>100.00000000000001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9918632"/>
        <c:axId val="413994760"/>
      </c:lineChart>
      <c:dateAx>
        <c:axId val="469918632"/>
        <c:scaling>
          <c:orientation val="minMax"/>
        </c:scaling>
        <c:delete val="0"/>
        <c:axPos val="b"/>
        <c:numFmt formatCode="m/d;@" sourceLinked="0"/>
        <c:majorTickMark val="in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13994760"/>
        <c:crosses val="autoZero"/>
        <c:auto val="1"/>
        <c:lblOffset val="100"/>
        <c:baseTimeUnit val="days"/>
        <c:majorUnit val="7"/>
        <c:majorTimeUnit val="days"/>
        <c:minorUnit val="1"/>
        <c:minorTimeUnit val="days"/>
      </c:dateAx>
      <c:valAx>
        <c:axId val="413994760"/>
        <c:scaling>
          <c:orientation val="minMax"/>
        </c:scaling>
        <c:delete val="0"/>
        <c:axPos val="l"/>
        <c:numFmt formatCode="0_);[Red]\(0\)" sourceLinked="0"/>
        <c:majorTickMark val="in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469918632"/>
        <c:crosses val="autoZero"/>
        <c:crossBetween val="between"/>
        <c:majorUnit val="5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559265442404014"/>
          <c:y val="0.91132714051278962"/>
          <c:w val="0.337228714524207"/>
          <c:h val="5.543859649122807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FC76-35CF-436D-8D49-BCCE8223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94</Words>
  <Characters>542</Characters>
  <Application>Microsoft Office Word</Application>
  <DocSecurity>0</DocSecurity>
  <Lines>4</Lines>
  <Paragraphs>1</Paragraphs>
  <ScaleCrop>false</ScaleCrop>
  <Company>Lenovo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JM</cp:lastModifiedBy>
  <cp:revision>58</cp:revision>
  <dcterms:created xsi:type="dcterms:W3CDTF">2014-02-24T10:12:00Z</dcterms:created>
  <dcterms:modified xsi:type="dcterms:W3CDTF">2014-03-24T10:01:00Z</dcterms:modified>
</cp:coreProperties>
</file>